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A67303" w14:textId="663D6827" w:rsidR="00004832" w:rsidRPr="007D421D" w:rsidRDefault="00004832" w:rsidP="1D06BE7F">
      <w:pPr>
        <w:pStyle w:val="Header"/>
        <w:tabs>
          <w:tab w:val="right" w:pos="9639"/>
        </w:tabs>
        <w:rPr>
          <w:noProof w:val="0"/>
          <w:sz w:val="24"/>
          <w:szCs w:val="24"/>
          <w:highlight w:val="yellow"/>
        </w:rPr>
      </w:pPr>
      <w:r w:rsidRPr="46C4DE92">
        <w:rPr>
          <w:noProof w:val="0"/>
          <w:sz w:val="24"/>
          <w:szCs w:val="24"/>
        </w:rPr>
        <w:t>3GPP TSG-RAN WG2 Meeting #</w:t>
      </w:r>
      <w:r w:rsidRPr="46C4DE92">
        <w:rPr>
          <w:noProof w:val="0"/>
          <w:sz w:val="24"/>
          <w:szCs w:val="24"/>
          <w:lang w:eastAsia="zh-CN"/>
        </w:rPr>
        <w:t>10</w:t>
      </w:r>
      <w:r w:rsidR="007D36F1">
        <w:rPr>
          <w:noProof w:val="0"/>
          <w:sz w:val="24"/>
          <w:szCs w:val="24"/>
          <w:lang w:eastAsia="zh-CN"/>
        </w:rPr>
        <w:t>4</w:t>
      </w:r>
      <w:r w:rsidRPr="00B266B0">
        <w:rPr>
          <w:bCs/>
          <w:noProof w:val="0"/>
          <w:sz w:val="24"/>
          <w:szCs w:val="24"/>
        </w:rPr>
        <w:tab/>
      </w:r>
      <w:r w:rsidRPr="007D421D">
        <w:rPr>
          <w:noProof w:val="0"/>
          <w:sz w:val="24"/>
          <w:szCs w:val="24"/>
        </w:rPr>
        <w:t>R2-18</w:t>
      </w:r>
      <w:r w:rsidR="0006694E" w:rsidRPr="007D421D">
        <w:rPr>
          <w:noProof w:val="0"/>
          <w:sz w:val="24"/>
          <w:szCs w:val="24"/>
        </w:rPr>
        <w:t>1</w:t>
      </w:r>
      <w:r w:rsidR="007D421D">
        <w:rPr>
          <w:noProof w:val="0"/>
          <w:sz w:val="24"/>
          <w:szCs w:val="24"/>
        </w:rPr>
        <w:t>7189</w:t>
      </w:r>
    </w:p>
    <w:p w14:paraId="39BE00F6" w14:textId="69CFCD02" w:rsidR="00CD4C7B" w:rsidRPr="007D421D" w:rsidRDefault="007D36F1" w:rsidP="1D06BE7F">
      <w:pPr>
        <w:pStyle w:val="Header"/>
        <w:tabs>
          <w:tab w:val="right" w:pos="9639"/>
        </w:tabs>
        <w:rPr>
          <w:noProof w:val="0"/>
          <w:sz w:val="24"/>
          <w:szCs w:val="24"/>
        </w:rPr>
      </w:pPr>
      <w:r w:rsidRPr="007D421D">
        <w:rPr>
          <w:noProof w:val="0"/>
          <w:sz w:val="24"/>
          <w:szCs w:val="24"/>
          <w:lang w:eastAsia="zh-CN"/>
        </w:rPr>
        <w:t>Spokane, USA, 12 - 16 November 2018</w:t>
      </w:r>
      <w:r w:rsidR="007028CA" w:rsidRPr="007D421D">
        <w:rPr>
          <w:noProof w:val="0"/>
          <w:sz w:val="24"/>
          <w:szCs w:val="24"/>
          <w:lang w:eastAsia="zh-CN"/>
        </w:rPr>
        <w:tab/>
      </w:r>
      <w:r w:rsidR="00780AF4" w:rsidRPr="007D421D">
        <w:rPr>
          <w:i/>
          <w:noProof w:val="0"/>
          <w:sz w:val="24"/>
          <w:szCs w:val="24"/>
          <w:lang w:eastAsia="zh-CN"/>
        </w:rPr>
        <w:t>(Rev</w:t>
      </w:r>
      <w:r w:rsidR="00DE6DE7" w:rsidRPr="007D421D">
        <w:rPr>
          <w:i/>
          <w:noProof w:val="0"/>
          <w:sz w:val="24"/>
          <w:szCs w:val="24"/>
          <w:lang w:eastAsia="zh-CN"/>
        </w:rPr>
        <w:t>ision</w:t>
      </w:r>
      <w:r w:rsidR="00780AF4" w:rsidRPr="007D421D">
        <w:rPr>
          <w:i/>
          <w:noProof w:val="0"/>
          <w:sz w:val="24"/>
          <w:szCs w:val="24"/>
          <w:lang w:eastAsia="zh-CN"/>
        </w:rPr>
        <w:t xml:space="preserve"> of </w:t>
      </w:r>
      <w:bookmarkStart w:id="0" w:name="_Hlk528309170"/>
      <w:r w:rsidR="0006694E" w:rsidRPr="007D421D">
        <w:rPr>
          <w:i/>
          <w:iCs/>
          <w:noProof w:val="0"/>
          <w:sz w:val="24"/>
          <w:szCs w:val="24"/>
          <w:lang w:eastAsia="zh-CN"/>
        </w:rPr>
        <w:t>R2-181</w:t>
      </w:r>
      <w:r w:rsidRPr="007D421D">
        <w:rPr>
          <w:i/>
          <w:iCs/>
          <w:noProof w:val="0"/>
          <w:sz w:val="24"/>
          <w:szCs w:val="24"/>
          <w:lang w:eastAsia="zh-CN"/>
        </w:rPr>
        <w:t>4289</w:t>
      </w:r>
      <w:bookmarkEnd w:id="0"/>
      <w:r w:rsidR="00780AF4" w:rsidRPr="007D421D">
        <w:rPr>
          <w:i/>
          <w:iCs/>
          <w:noProof w:val="0"/>
          <w:sz w:val="24"/>
          <w:szCs w:val="24"/>
          <w:lang w:eastAsia="zh-CN"/>
        </w:rPr>
        <w:t>)</w:t>
      </w:r>
    </w:p>
    <w:p w14:paraId="49379CFB" w14:textId="3FA78D62" w:rsidR="00CD4C7B" w:rsidRPr="007D421D" w:rsidRDefault="00CD4C7B" w:rsidP="00CD4C7B">
      <w:pPr>
        <w:pStyle w:val="Header"/>
        <w:rPr>
          <w:bCs/>
          <w:noProof w:val="0"/>
          <w:sz w:val="24"/>
        </w:rPr>
      </w:pPr>
    </w:p>
    <w:p w14:paraId="19E7AFC9" w14:textId="77777777" w:rsidR="0006694E" w:rsidRPr="007D421D" w:rsidRDefault="0006694E" w:rsidP="00CD4C7B">
      <w:pPr>
        <w:pStyle w:val="Header"/>
        <w:rPr>
          <w:bCs/>
          <w:noProof w:val="0"/>
          <w:sz w:val="24"/>
        </w:rPr>
      </w:pPr>
    </w:p>
    <w:p w14:paraId="758E2B30" w14:textId="3FAA5A4F" w:rsidR="00CD4C7B" w:rsidRPr="007D421D" w:rsidRDefault="00CD4C7B" w:rsidP="1D06BE7F">
      <w:pPr>
        <w:pStyle w:val="CRCoverPage"/>
        <w:tabs>
          <w:tab w:val="left" w:pos="1985"/>
        </w:tabs>
        <w:rPr>
          <w:rFonts w:eastAsia="Arial" w:cs="Arial"/>
          <w:b/>
          <w:bCs/>
          <w:sz w:val="24"/>
          <w:szCs w:val="24"/>
          <w:lang w:eastAsia="ja-JP"/>
        </w:rPr>
      </w:pPr>
      <w:r w:rsidRPr="007D421D">
        <w:rPr>
          <w:b/>
          <w:bCs/>
          <w:sz w:val="24"/>
          <w:szCs w:val="24"/>
        </w:rPr>
        <w:t>Agenda item:</w:t>
      </w:r>
      <w:r w:rsidRPr="007D421D">
        <w:rPr>
          <w:rFonts w:cs="Arial"/>
          <w:b/>
          <w:bCs/>
          <w:sz w:val="24"/>
        </w:rPr>
        <w:tab/>
      </w:r>
      <w:r w:rsidR="002A3290" w:rsidRPr="007D421D">
        <w:rPr>
          <w:b/>
          <w:bCs/>
          <w:sz w:val="24"/>
          <w:szCs w:val="24"/>
          <w:lang w:eastAsia="ja-JP"/>
        </w:rPr>
        <w:t>11.2</w:t>
      </w:r>
      <w:r w:rsidR="00004832" w:rsidRPr="007D421D">
        <w:rPr>
          <w:b/>
          <w:bCs/>
          <w:sz w:val="24"/>
          <w:szCs w:val="24"/>
          <w:lang w:eastAsia="ja-JP"/>
        </w:rPr>
        <w:t>.</w:t>
      </w:r>
      <w:r w:rsidR="00EB2293" w:rsidRPr="007D421D">
        <w:rPr>
          <w:b/>
          <w:bCs/>
          <w:sz w:val="24"/>
          <w:szCs w:val="24"/>
          <w:lang w:eastAsia="ja-JP"/>
        </w:rPr>
        <w:t>2.2</w:t>
      </w:r>
    </w:p>
    <w:p w14:paraId="6A1BC0C1" w14:textId="2FF76E31" w:rsidR="00CD4C7B" w:rsidRPr="00B266B0" w:rsidRDefault="00CD4C7B" w:rsidP="1D06BE7F">
      <w:pPr>
        <w:tabs>
          <w:tab w:val="left" w:pos="1985"/>
        </w:tabs>
        <w:ind w:left="1985" w:hanging="1985"/>
        <w:rPr>
          <w:rFonts w:ascii="Arial" w:eastAsia="Arial" w:hAnsi="Arial" w:cs="Arial"/>
          <w:b/>
          <w:bCs/>
          <w:sz w:val="24"/>
          <w:szCs w:val="24"/>
        </w:rPr>
      </w:pPr>
      <w:r w:rsidRPr="46C4DE92">
        <w:rPr>
          <w:rFonts w:ascii="Arial" w:eastAsia="Arial" w:hAnsi="Arial" w:cs="Arial"/>
          <w:b/>
          <w:bCs/>
          <w:sz w:val="24"/>
          <w:szCs w:val="24"/>
        </w:rPr>
        <w:t>Source:</w:t>
      </w:r>
      <w:r w:rsidRPr="00B266B0">
        <w:rPr>
          <w:rFonts w:ascii="Arial" w:hAnsi="Arial" w:cs="Arial"/>
          <w:b/>
          <w:bCs/>
          <w:sz w:val="24"/>
        </w:rPr>
        <w:tab/>
      </w:r>
      <w:r w:rsidR="001741A0" w:rsidRPr="46C4DE92">
        <w:rPr>
          <w:rFonts w:ascii="Arial" w:eastAsia="Arial" w:hAnsi="Arial" w:cs="Arial"/>
          <w:b/>
          <w:bCs/>
          <w:sz w:val="24"/>
          <w:szCs w:val="24"/>
        </w:rPr>
        <w:t>Nokia</w:t>
      </w:r>
      <w:r w:rsidR="00090468" w:rsidRPr="46C4DE92">
        <w:rPr>
          <w:rFonts w:ascii="Arial" w:eastAsia="Arial" w:hAnsi="Arial" w:cs="Arial"/>
          <w:b/>
          <w:bCs/>
          <w:sz w:val="24"/>
          <w:szCs w:val="24"/>
        </w:rPr>
        <w:t xml:space="preserve">, </w:t>
      </w:r>
      <w:r w:rsidR="00325AE3" w:rsidRPr="46C4DE92">
        <w:rPr>
          <w:rFonts w:ascii="Arial" w:eastAsia="Arial" w:hAnsi="Arial" w:cs="Arial"/>
          <w:b/>
          <w:bCs/>
          <w:sz w:val="24"/>
          <w:szCs w:val="24"/>
        </w:rPr>
        <w:t>Nokia</w:t>
      </w:r>
      <w:r w:rsidR="00090468" w:rsidRPr="46C4DE92">
        <w:rPr>
          <w:rFonts w:ascii="Arial" w:eastAsia="Arial" w:hAnsi="Arial" w:cs="Arial"/>
          <w:b/>
          <w:bCs/>
          <w:sz w:val="24"/>
          <w:szCs w:val="24"/>
        </w:rPr>
        <w:t xml:space="preserve"> Shanghai Bell</w:t>
      </w:r>
    </w:p>
    <w:p w14:paraId="45BE90BE" w14:textId="502BB704" w:rsidR="00CD4C7B" w:rsidRDefault="00CD4C7B" w:rsidP="1D06BE7F">
      <w:pPr>
        <w:ind w:left="1985" w:hanging="1985"/>
        <w:rPr>
          <w:rFonts w:ascii="Arial" w:eastAsia="Arial" w:hAnsi="Arial" w:cs="Arial"/>
          <w:b/>
          <w:bCs/>
          <w:sz w:val="24"/>
          <w:szCs w:val="24"/>
        </w:rPr>
      </w:pPr>
      <w:r w:rsidRPr="46C4DE92">
        <w:rPr>
          <w:rFonts w:ascii="Arial" w:eastAsia="Arial" w:hAnsi="Arial" w:cs="Arial"/>
          <w:b/>
          <w:bCs/>
          <w:sz w:val="24"/>
          <w:szCs w:val="24"/>
        </w:rPr>
        <w:t>Title:</w:t>
      </w:r>
      <w:r w:rsidRPr="00B266B0">
        <w:rPr>
          <w:rFonts w:ascii="Arial" w:hAnsi="Arial" w:cs="Arial"/>
          <w:b/>
          <w:bCs/>
          <w:sz w:val="24"/>
        </w:rPr>
        <w:tab/>
      </w:r>
      <w:bookmarkStart w:id="1" w:name="_Hlk517262069"/>
      <w:r w:rsidR="00311E9F" w:rsidRPr="46C4DE92">
        <w:rPr>
          <w:rFonts w:ascii="Arial" w:eastAsia="Arial" w:hAnsi="Arial" w:cs="Arial"/>
          <w:b/>
          <w:bCs/>
          <w:sz w:val="24"/>
          <w:szCs w:val="24"/>
          <w:lang w:eastAsia="zh-CN"/>
        </w:rPr>
        <w:t>RRC connected mode mobility for NR-U</w:t>
      </w:r>
      <w:bookmarkEnd w:id="1"/>
    </w:p>
    <w:p w14:paraId="3AC3A0B1" w14:textId="170817CC" w:rsidR="00CD4C7B" w:rsidRPr="00B266B0" w:rsidRDefault="00CD4C7B" w:rsidP="1D06BE7F">
      <w:pPr>
        <w:ind w:left="1985" w:hanging="1985"/>
        <w:rPr>
          <w:rFonts w:ascii="Arial" w:eastAsia="Arial" w:hAnsi="Arial" w:cs="Arial"/>
          <w:b/>
          <w:bCs/>
          <w:sz w:val="24"/>
          <w:szCs w:val="24"/>
        </w:rPr>
      </w:pPr>
      <w:r w:rsidRPr="46C4DE92">
        <w:rPr>
          <w:rFonts w:ascii="Arial" w:eastAsia="Arial" w:hAnsi="Arial" w:cs="Arial"/>
          <w:b/>
          <w:bCs/>
          <w:sz w:val="24"/>
          <w:szCs w:val="24"/>
        </w:rPr>
        <w:t>WID/SID:</w:t>
      </w:r>
      <w:r>
        <w:rPr>
          <w:rFonts w:ascii="Arial" w:hAnsi="Arial" w:cs="Arial"/>
          <w:b/>
          <w:bCs/>
          <w:sz w:val="24"/>
        </w:rPr>
        <w:tab/>
      </w:r>
      <w:r w:rsidR="00610313" w:rsidRPr="46C4DE92">
        <w:rPr>
          <w:rFonts w:ascii="Arial" w:eastAsia="Arial" w:hAnsi="Arial" w:cs="Arial"/>
          <w:b/>
          <w:bCs/>
          <w:sz w:val="24"/>
          <w:szCs w:val="24"/>
        </w:rPr>
        <w:t>FS_NR_unlic – Release 16</w:t>
      </w:r>
    </w:p>
    <w:p w14:paraId="7DF86DB4" w14:textId="77777777" w:rsidR="00CD4C7B" w:rsidRPr="00B266B0" w:rsidRDefault="00CD4C7B" w:rsidP="1D06BE7F">
      <w:pPr>
        <w:tabs>
          <w:tab w:val="left" w:pos="1985"/>
        </w:tabs>
        <w:rPr>
          <w:rFonts w:ascii="Arial" w:eastAsia="Arial" w:hAnsi="Arial" w:cs="Arial"/>
          <w:b/>
          <w:bCs/>
          <w:sz w:val="24"/>
          <w:szCs w:val="24"/>
        </w:rPr>
      </w:pPr>
      <w:r w:rsidRPr="46C4DE92">
        <w:rPr>
          <w:rFonts w:ascii="Arial" w:eastAsia="Arial" w:hAnsi="Arial" w:cs="Arial"/>
          <w:b/>
          <w:bCs/>
          <w:sz w:val="24"/>
          <w:szCs w:val="24"/>
        </w:rPr>
        <w:t>Document for:</w:t>
      </w:r>
      <w:r w:rsidRPr="00B266B0">
        <w:rPr>
          <w:rFonts w:ascii="Arial" w:hAnsi="Arial" w:cs="Arial"/>
          <w:b/>
          <w:bCs/>
          <w:sz w:val="24"/>
        </w:rPr>
        <w:tab/>
      </w:r>
      <w:r w:rsidRPr="46C4DE92">
        <w:rPr>
          <w:rFonts w:ascii="Arial" w:eastAsia="Arial" w:hAnsi="Arial" w:cs="Arial"/>
          <w:b/>
          <w:bCs/>
          <w:sz w:val="24"/>
          <w:szCs w:val="24"/>
        </w:rPr>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6866D992" w14:textId="44A915B8" w:rsidR="005025F9" w:rsidRDefault="1D06BE7F" w:rsidP="00AE1D64">
      <w:pPr>
        <w:jc w:val="both"/>
      </w:pPr>
      <w:r w:rsidRPr="1D06BE7F">
        <w:rPr>
          <w:rFonts w:eastAsia="Times New Roman"/>
        </w:rPr>
        <w:t xml:space="preserve">Connected mode mobility was treated in the RAN2 email discussion 103#56 </w:t>
      </w:r>
      <w:r w:rsidR="00407F0A">
        <w:rPr>
          <w:rFonts w:eastAsia="Times New Roman"/>
        </w:rPr>
        <w:t xml:space="preserve">and the email discussion was summarized in </w:t>
      </w:r>
      <w:r w:rsidR="00407F0A">
        <w:t>[</w:t>
      </w:r>
      <w:r w:rsidR="00407F0A" w:rsidRPr="00F068BF">
        <w:t>R2-1815891_Mobility_RLM_TP_final</w:t>
      </w:r>
      <w:r w:rsidR="00407F0A">
        <w:t>]</w:t>
      </w:r>
      <w:r w:rsidR="0007180E">
        <w:t xml:space="preserve"> for the TR [3</w:t>
      </w:r>
      <w:r w:rsidR="00407F0A">
        <w:rPr>
          <w:rFonts w:eastAsia="Times New Roman"/>
        </w:rPr>
        <w:t>]</w:t>
      </w:r>
      <w:r w:rsidRPr="1D06BE7F">
        <w:rPr>
          <w:rFonts w:eastAsia="Times New Roman"/>
        </w:rPr>
        <w:t xml:space="preserve">. </w:t>
      </w:r>
    </w:p>
    <w:p w14:paraId="413B8A46" w14:textId="336C6DEE" w:rsidR="00EB2293" w:rsidRDefault="1D06BE7F" w:rsidP="00EB2293">
      <w:pPr>
        <w:jc w:val="both"/>
      </w:pPr>
      <w:r>
        <w:t xml:space="preserve">In this paper we </w:t>
      </w:r>
      <w:r w:rsidR="00407F0A">
        <w:t>re-iterate</w:t>
      </w:r>
      <w:r>
        <w:t xml:space="preserve"> our views on the steps pertaining to mobility, such as measurement reporting configuring, measurement triggers, and optimizations of signalling related to HO. </w:t>
      </w:r>
    </w:p>
    <w:p w14:paraId="066FC482" w14:textId="61AADD23" w:rsidR="002760F7" w:rsidRPr="006E13D1" w:rsidRDefault="00CD2127" w:rsidP="002760F7">
      <w:pPr>
        <w:pStyle w:val="Heading1"/>
      </w:pPr>
      <w:r>
        <w:t>2</w:t>
      </w:r>
      <w:r>
        <w:tab/>
      </w:r>
      <w:r w:rsidR="00FB677F">
        <w:t>Measurement Reporting configuration</w:t>
      </w:r>
    </w:p>
    <w:p w14:paraId="780FE0E4" w14:textId="72F40313" w:rsidR="00FB677F" w:rsidRDefault="1D06BE7F" w:rsidP="1D06BE7F">
      <w:pPr>
        <w:jc w:val="both"/>
        <w:rPr>
          <w:lang w:val="en-US" w:eastAsia="zh-CN"/>
        </w:rPr>
      </w:pPr>
      <w:r w:rsidRPr="1D06BE7F">
        <w:rPr>
          <w:lang w:val="en-US" w:eastAsia="zh-CN"/>
        </w:rPr>
        <w:t xml:space="preserve">In unlicensed spectrum, </w:t>
      </w:r>
      <w:r w:rsidRPr="1D06BE7F">
        <w:rPr>
          <w:lang w:eastAsia="zh-CN"/>
        </w:rPr>
        <w:t xml:space="preserve">it is possible to have multiple PLMN operating on the same carrier frequency. For RRC connected mode mobility, this can eventually result in the UE measuring and reporting an unlicensed cell that that is not suitable for mobility. A similar problem existed in LAA for measurement and reporting of target SCells. To solve this issue, Rel-13 LAA specifications introduced the possibility to add </w:t>
      </w:r>
      <w:r w:rsidRPr="1D06BE7F">
        <w:rPr>
          <w:lang w:val="en-US"/>
        </w:rPr>
        <w:t xml:space="preserve">a whitelist of cells in the measurement reporting configuration. </w:t>
      </w:r>
    </w:p>
    <w:p w14:paraId="26066705" w14:textId="3999F37D" w:rsidR="00CD13BD" w:rsidRPr="00E337B1" w:rsidRDefault="1D06BE7F" w:rsidP="1D06BE7F">
      <w:pPr>
        <w:jc w:val="both"/>
        <w:rPr>
          <w:lang w:eastAsia="zh-CN"/>
        </w:rPr>
      </w:pPr>
      <w:r w:rsidRPr="1D06BE7F">
        <w:rPr>
          <w:lang w:val="en-US" w:eastAsia="zh-CN"/>
        </w:rPr>
        <w:t>Blacklisting and whitelisting have been also introduced to NR measurement objects [1], bringing the same benefits to NR-U, as well.</w:t>
      </w:r>
    </w:p>
    <w:p w14:paraId="076F841B" w14:textId="374F8ED2" w:rsidR="002760F7" w:rsidRPr="003D0AE2" w:rsidRDefault="1D06BE7F" w:rsidP="1D06BE7F">
      <w:pPr>
        <w:jc w:val="both"/>
        <w:rPr>
          <w:b/>
          <w:bCs/>
        </w:rPr>
      </w:pPr>
      <w:r w:rsidRPr="1D06BE7F">
        <w:rPr>
          <w:b/>
          <w:bCs/>
        </w:rPr>
        <w:t>Observation 1:</w:t>
      </w:r>
      <w:r w:rsidRPr="1D06BE7F">
        <w:rPr>
          <w:b/>
          <w:bCs/>
          <w:lang w:val="en-US"/>
        </w:rPr>
        <w:t xml:space="preserve"> Adding a blacklist or whitelist of cells in the measurement object is supported in NR, and therefore applicable also to NR-U. Those lists </w:t>
      </w:r>
      <w:r w:rsidRPr="1D06BE7F">
        <w:rPr>
          <w:b/>
          <w:bCs/>
          <w:lang w:val="en-US" w:eastAsia="zh-CN"/>
        </w:rPr>
        <w:t xml:space="preserve">are sufficient to </w:t>
      </w:r>
      <w:r w:rsidRPr="1D06BE7F">
        <w:rPr>
          <w:b/>
          <w:bCs/>
        </w:rPr>
        <w:t>avoid measuring and reporting cells which are not suitable for mobility (e.g. belonging to a different PLMN).</w:t>
      </w:r>
    </w:p>
    <w:p w14:paraId="5C2BAA71" w14:textId="6A148DE8" w:rsidR="002760F7" w:rsidRPr="006E13D1" w:rsidRDefault="00CD2127" w:rsidP="002760F7">
      <w:pPr>
        <w:pStyle w:val="Heading1"/>
      </w:pPr>
      <w:r>
        <w:t>3</w:t>
      </w:r>
      <w:r w:rsidR="002760F7" w:rsidRPr="006E13D1">
        <w:tab/>
      </w:r>
      <w:r w:rsidR="00FB677F">
        <w:t>Triggering C</w:t>
      </w:r>
      <w:r w:rsidR="002C1BC8">
        <w:t>riteria</w:t>
      </w:r>
    </w:p>
    <w:p w14:paraId="448A9300" w14:textId="5E1DD15A" w:rsidR="003218AD" w:rsidRDefault="1D06BE7F" w:rsidP="46C4DE92">
      <w:pPr>
        <w:jc w:val="both"/>
      </w:pPr>
      <w:r>
        <w:t xml:space="preserve">In the </w:t>
      </w:r>
      <w:r w:rsidR="00407F0A">
        <w:t>past meetings, and in the recent T</w:t>
      </w:r>
      <w:r w:rsidR="00BF1773">
        <w:t>R</w:t>
      </w:r>
      <w:r w:rsidR="00407F0A">
        <w:t xml:space="preserve">, it has been suggested to study </w:t>
      </w:r>
      <w:r>
        <w:t>new trigger event for measurement reports.</w:t>
      </w:r>
    </w:p>
    <w:p w14:paraId="4EB42B7D" w14:textId="38F5536B" w:rsidR="00503B8C" w:rsidRDefault="00407F0A" w:rsidP="1D06BE7F">
      <w:pPr>
        <w:jc w:val="both"/>
        <w:rPr>
          <w:lang w:val="en-US"/>
        </w:rPr>
      </w:pPr>
      <w:r>
        <w:rPr>
          <w:lang w:val="en-US"/>
        </w:rPr>
        <w:t>Namely</w:t>
      </w:r>
      <w:r w:rsidR="1D06BE7F" w:rsidRPr="1D06BE7F">
        <w:rPr>
          <w:lang w:val="en-US"/>
        </w:rPr>
        <w:t xml:space="preserve"> particular, it has been proposed that Channel Occupancy (CO) could be used as a trigger quantity for reporting. We recall that RSSI and CO reporting have been agreed for RAN2, based on the same measurements being available also in LAA. We further recall that those measured were justified in LAA primarily as aiding the UE in selecting a free cell. </w:t>
      </w:r>
    </w:p>
    <w:p w14:paraId="53D8E189" w14:textId="5F54EFCB" w:rsidR="00683035" w:rsidRDefault="1D06BE7F" w:rsidP="1D06BE7F">
      <w:pPr>
        <w:jc w:val="both"/>
        <w:rPr>
          <w:lang w:val="en-US"/>
        </w:rPr>
      </w:pPr>
      <w:r w:rsidRPr="1D06BE7F">
        <w:rPr>
          <w:lang w:val="en-US"/>
        </w:rPr>
        <w:t xml:space="preserve">Current trigger mechanisms comprise RSRQ, which is defined as the ratio of RSRP to RSSI. Thus, a UE observing higher CO will also see a decrease in its RSRQ and as such the RSRQ does already (at least partially) include the effect of load on a carrier frequency. </w:t>
      </w:r>
    </w:p>
    <w:p w14:paraId="40AA3725" w14:textId="0E48EF83" w:rsidR="007A274A" w:rsidRDefault="1D06BE7F" w:rsidP="1D06BE7F">
      <w:pPr>
        <w:jc w:val="both"/>
        <w:rPr>
          <w:lang w:val="en-US"/>
        </w:rPr>
      </w:pPr>
      <w:r w:rsidRPr="1D06BE7F">
        <w:rPr>
          <w:lang w:val="en-US"/>
        </w:rPr>
        <w:t>Unless clear benefits are identified as compared to existing triggering criteria, we propose not to adopt new triggering criteria which are based on Channel Occupancy and/or UE-reported RSSI.</w:t>
      </w:r>
    </w:p>
    <w:p w14:paraId="0864902A" w14:textId="7A0CDFE9" w:rsidR="008B043F" w:rsidRDefault="1D06BE7F" w:rsidP="1D06BE7F">
      <w:pPr>
        <w:jc w:val="both"/>
        <w:rPr>
          <w:lang w:val="en-US"/>
        </w:rPr>
      </w:pPr>
      <w:r w:rsidRPr="1D06BE7F">
        <w:rPr>
          <w:lang w:val="en-US"/>
        </w:rPr>
        <w:t>As the channel quality is already captured with RSRQ, a CO- selective triggering would be meant to initiate a HO of a UE in the cell center, to a cell with less load. However, the CO in unlicensed is highly variable and the length of transmissions of other users unpredictable. Therefore, the benefit of triggering of reports in reaction to a situation as compared to periodic reports is not clear.</w:t>
      </w:r>
    </w:p>
    <w:p w14:paraId="61EA0884" w14:textId="2251C0DB" w:rsidR="00734AF7" w:rsidRPr="00B77D08" w:rsidRDefault="1D06BE7F" w:rsidP="1D06BE7F">
      <w:pPr>
        <w:jc w:val="both"/>
        <w:rPr>
          <w:b/>
          <w:bCs/>
        </w:rPr>
      </w:pPr>
      <w:r w:rsidRPr="1D06BE7F">
        <w:rPr>
          <w:b/>
          <w:bCs/>
        </w:rPr>
        <w:t xml:space="preserve">Proposal </w:t>
      </w:r>
      <w:r w:rsidR="008334F1">
        <w:rPr>
          <w:b/>
          <w:bCs/>
        </w:rPr>
        <w:t>1</w:t>
      </w:r>
      <w:r w:rsidRPr="1D06BE7F">
        <w:rPr>
          <w:b/>
          <w:bCs/>
        </w:rPr>
        <w:t>:</w:t>
      </w:r>
      <w:r w:rsidRPr="1D06BE7F">
        <w:rPr>
          <w:b/>
          <w:bCs/>
          <w:lang w:val="en-US"/>
        </w:rPr>
        <w:t xml:space="preserve"> NR-U adopts same triggering criteria as in baseline Rel-15. That is, no new triggering criteria based on Channel Occupancy and/or UE-reported RSSI measurements, only triggering criteria based on RSRP, RSRQ and SINR.</w:t>
      </w:r>
    </w:p>
    <w:p w14:paraId="49688041" w14:textId="40A2CC23" w:rsidR="002760F7" w:rsidRPr="0075578C" w:rsidRDefault="1D06BE7F" w:rsidP="1D06BE7F">
      <w:pPr>
        <w:jc w:val="both"/>
        <w:rPr>
          <w:b/>
          <w:bCs/>
        </w:rPr>
      </w:pPr>
      <w:r w:rsidRPr="1D06BE7F">
        <w:rPr>
          <w:b/>
          <w:bCs/>
        </w:rPr>
        <w:lastRenderedPageBreak/>
        <w:t xml:space="preserve">Proposal </w:t>
      </w:r>
      <w:r w:rsidR="008334F1">
        <w:rPr>
          <w:b/>
          <w:bCs/>
        </w:rPr>
        <w:t>2</w:t>
      </w:r>
      <w:r w:rsidRPr="1D06BE7F">
        <w:rPr>
          <w:b/>
          <w:bCs/>
        </w:rPr>
        <w:t>: In NR-U as in LAA, only periodic reporting of Channel Occu</w:t>
      </w:r>
      <w:r w:rsidR="007D421D">
        <w:rPr>
          <w:b/>
          <w:bCs/>
        </w:rPr>
        <w:t>pancy and RSSI is supported.</w:t>
      </w:r>
    </w:p>
    <w:p w14:paraId="305600EF" w14:textId="177E1C59" w:rsidR="0082592B" w:rsidRPr="006E13D1" w:rsidRDefault="0082592B" w:rsidP="0082592B">
      <w:pPr>
        <w:pStyle w:val="Heading1"/>
      </w:pPr>
      <w:r>
        <w:t>4</w:t>
      </w:r>
      <w:r w:rsidRPr="006E13D1">
        <w:tab/>
      </w:r>
      <w:r>
        <w:t>RRC Connected mode mobility: Handover</w:t>
      </w:r>
    </w:p>
    <w:p w14:paraId="1AE69A8B" w14:textId="6D2DFA48" w:rsidR="005D1EA7" w:rsidRDefault="1D06BE7F" w:rsidP="1D06BE7F">
      <w:pPr>
        <w:jc w:val="both"/>
        <w:rPr>
          <w:lang w:val="en-US"/>
        </w:rPr>
      </w:pPr>
      <w:r w:rsidRPr="1D06BE7F">
        <w:rPr>
          <w:lang w:val="en-US"/>
        </w:rPr>
        <w:t xml:space="preserve">The impact of LBT on delay for control plane signaling </w:t>
      </w:r>
      <w:r w:rsidR="00407F0A">
        <w:rPr>
          <w:lang w:val="en-US"/>
        </w:rPr>
        <w:t>is also one of the areas of study identified in the T</w:t>
      </w:r>
      <w:r w:rsidR="00BF1773">
        <w:rPr>
          <w:lang w:val="en-US"/>
        </w:rPr>
        <w:t>R</w:t>
      </w:r>
      <w:r w:rsidRPr="1D06BE7F">
        <w:rPr>
          <w:lang w:val="en-US"/>
        </w:rPr>
        <w:t>.</w:t>
      </w:r>
    </w:p>
    <w:p w14:paraId="026C6437" w14:textId="3B1CBF39" w:rsidR="008B043F" w:rsidRDefault="1D06BE7F" w:rsidP="46C4DE92">
      <w:pPr>
        <w:jc w:val="both"/>
      </w:pPr>
      <w:r w:rsidRPr="1D06BE7F">
        <w:rPr>
          <w:lang w:val="en-US"/>
        </w:rPr>
        <w:t xml:space="preserve">The general procedure for a HO is that the </w:t>
      </w:r>
      <w:r>
        <w:t>UE first sends a measurement report, based on the configured measurement events and triggering criteria. Then the source cell sends a handover command to the UE, after having contacted the target cell. Finally, the UE performs a random-access procedure towards the target cell and sends a handover complete message [2].</w:t>
      </w:r>
    </w:p>
    <w:p w14:paraId="2663BFB1" w14:textId="703A6943" w:rsidR="00DA408C" w:rsidRPr="009610AB" w:rsidRDefault="1D06BE7F" w:rsidP="1D06BE7F">
      <w:pPr>
        <w:jc w:val="both"/>
        <w:rPr>
          <w:b/>
          <w:bCs/>
          <w:u w:val="single"/>
          <w:lang w:val="en-US"/>
        </w:rPr>
      </w:pPr>
      <w:r w:rsidRPr="1D06BE7F">
        <w:rPr>
          <w:b/>
          <w:bCs/>
          <w:u w:val="single"/>
          <w:lang w:val="en-US"/>
        </w:rPr>
        <w:t>Increasing robustness: random access</w:t>
      </w:r>
    </w:p>
    <w:p w14:paraId="7C210C30" w14:textId="69B7A2B9" w:rsidR="005D1EA7" w:rsidRPr="001C0913" w:rsidRDefault="1D06BE7F" w:rsidP="1D06BE7F">
      <w:pPr>
        <w:jc w:val="both"/>
        <w:rPr>
          <w:lang w:val="en-US"/>
        </w:rPr>
      </w:pPr>
      <w:r w:rsidRPr="1D06BE7F">
        <w:rPr>
          <w:lang w:val="en-US"/>
        </w:rPr>
        <w:t>Once the UE has received the HO command, it will attempt to perform random access. It has been readily recognized that LBT failures present a challenge to this step and should be mitigated.  RAN2#103 therefore came to following agreement:</w:t>
      </w:r>
    </w:p>
    <w:p w14:paraId="1ADD7A3C" w14:textId="77777777" w:rsidR="005D1EA7" w:rsidRPr="001C0913" w:rsidRDefault="1D06BE7F" w:rsidP="007D421D">
      <w:pPr>
        <w:numPr>
          <w:ilvl w:val="0"/>
          <w:numId w:val="28"/>
        </w:numPr>
        <w:tabs>
          <w:tab w:val="clear" w:pos="720"/>
          <w:tab w:val="num" w:pos="1004"/>
        </w:tabs>
        <w:jc w:val="both"/>
        <w:rPr>
          <w:i/>
          <w:iCs/>
          <w:lang w:val="en-US"/>
        </w:rPr>
      </w:pPr>
      <w:r w:rsidRPr="1D06BE7F">
        <w:rPr>
          <w:i/>
          <w:iCs/>
        </w:rPr>
        <w:t>R2 assumes that RACH may be enhanced by additional opportunities, e.g. in time or frequency domain, FFS which messages the additional opportunities apply to.</w:t>
      </w:r>
    </w:p>
    <w:p w14:paraId="07AA64B4" w14:textId="60307CF6" w:rsidR="00DA408C" w:rsidRDefault="1D06BE7F" w:rsidP="1D06BE7F">
      <w:pPr>
        <w:jc w:val="both"/>
        <w:rPr>
          <w:lang w:val="en-US"/>
        </w:rPr>
      </w:pPr>
      <w:r w:rsidRPr="1D06BE7F">
        <w:rPr>
          <w:lang w:val="en-US"/>
        </w:rPr>
        <w:t>This has been also reflected RAN1#94 as:</w:t>
      </w:r>
    </w:p>
    <w:p w14:paraId="573B6249" w14:textId="77777777" w:rsidR="008334F1" w:rsidRPr="00A42AA7" w:rsidRDefault="008334F1" w:rsidP="008334F1">
      <w:pPr>
        <w:numPr>
          <w:ilvl w:val="0"/>
          <w:numId w:val="27"/>
        </w:numPr>
        <w:jc w:val="both"/>
        <w:rPr>
          <w:i/>
          <w:iCs/>
          <w:lang w:val="en-US"/>
        </w:rPr>
      </w:pPr>
      <w:r w:rsidRPr="1D06BE7F">
        <w:rPr>
          <w:i/>
          <w:iCs/>
        </w:rPr>
        <w:t>In some scenarios it is beneficial for the maximum RAR window size to be extended beyond 10 ms to increase robustness to DL LBT failure</w:t>
      </w:r>
    </w:p>
    <w:p w14:paraId="1C36620A" w14:textId="77777777" w:rsidR="008334F1" w:rsidRPr="00A42AA7" w:rsidRDefault="008334F1" w:rsidP="008334F1">
      <w:pPr>
        <w:numPr>
          <w:ilvl w:val="1"/>
          <w:numId w:val="27"/>
        </w:numPr>
        <w:jc w:val="both"/>
        <w:rPr>
          <w:i/>
          <w:iCs/>
          <w:lang w:val="en-US"/>
        </w:rPr>
      </w:pPr>
      <w:r w:rsidRPr="1D06BE7F">
        <w:rPr>
          <w:i/>
          <w:iCs/>
        </w:rPr>
        <w:t>FFS: Value of maximum RAR window size</w:t>
      </w:r>
    </w:p>
    <w:p w14:paraId="411D08B9" w14:textId="4FD844D5" w:rsidR="008334F1" w:rsidRDefault="008334F1" w:rsidP="1D06BE7F">
      <w:pPr>
        <w:jc w:val="both"/>
        <w:rPr>
          <w:lang w:val="en-US"/>
        </w:rPr>
      </w:pPr>
      <w:r>
        <w:rPr>
          <w:lang w:val="en-US"/>
        </w:rPr>
        <w:t>and in RAN1#94bis as:</w:t>
      </w:r>
    </w:p>
    <w:p w14:paraId="1D494B9B" w14:textId="77777777" w:rsidR="00004300" w:rsidRDefault="00004300" w:rsidP="007D421D">
      <w:pPr>
        <w:ind w:left="568"/>
        <w:rPr>
          <w:lang w:eastAsia="x-none"/>
        </w:rPr>
      </w:pPr>
      <w:r w:rsidRPr="00726047">
        <w:rPr>
          <w:highlight w:val="green"/>
          <w:lang w:eastAsia="x-none"/>
        </w:rPr>
        <w:t>Agreement:</w:t>
      </w:r>
    </w:p>
    <w:p w14:paraId="1FE64151" w14:textId="77777777" w:rsidR="00004300" w:rsidRPr="00726047" w:rsidRDefault="00004300" w:rsidP="007D421D">
      <w:pPr>
        <w:ind w:left="568"/>
        <w:rPr>
          <w:lang w:val="en-US" w:eastAsia="x-none"/>
        </w:rPr>
      </w:pPr>
      <w:r w:rsidRPr="00726047">
        <w:rPr>
          <w:lang w:val="en-US" w:eastAsia="x-none"/>
        </w:rPr>
        <w:t>Following options have been identified for potential RACH resource enhancements in NR-U beyond the flexibility already available in Rel-15:</w:t>
      </w:r>
    </w:p>
    <w:p w14:paraId="5F648941" w14:textId="77777777" w:rsidR="00004300" w:rsidRPr="00726047" w:rsidRDefault="00004300" w:rsidP="007D421D">
      <w:pPr>
        <w:numPr>
          <w:ilvl w:val="0"/>
          <w:numId w:val="27"/>
        </w:numPr>
        <w:tabs>
          <w:tab w:val="clear" w:pos="720"/>
          <w:tab w:val="num" w:pos="1572"/>
        </w:tabs>
        <w:spacing w:after="0"/>
        <w:ind w:left="1288"/>
        <w:rPr>
          <w:b/>
          <w:lang w:val="en-US" w:eastAsia="x-none"/>
        </w:rPr>
      </w:pPr>
      <w:r w:rsidRPr="00726047">
        <w:rPr>
          <w:b/>
          <w:lang w:val="en-US" w:eastAsia="x-none"/>
        </w:rPr>
        <w:t>Frequency-domain enhancement</w:t>
      </w:r>
    </w:p>
    <w:p w14:paraId="2EF271BC" w14:textId="77777777" w:rsidR="00004300" w:rsidRPr="00726047" w:rsidRDefault="00004300" w:rsidP="007D421D">
      <w:pPr>
        <w:numPr>
          <w:ilvl w:val="1"/>
          <w:numId w:val="27"/>
        </w:numPr>
        <w:tabs>
          <w:tab w:val="clear" w:pos="1440"/>
          <w:tab w:val="num" w:pos="2008"/>
        </w:tabs>
        <w:spacing w:after="0"/>
        <w:ind w:left="2008"/>
        <w:rPr>
          <w:lang w:val="en-US" w:eastAsia="x-none"/>
        </w:rPr>
      </w:pPr>
      <w:r w:rsidRPr="00726047">
        <w:rPr>
          <w:lang w:val="en-US" w:eastAsia="x-none"/>
        </w:rPr>
        <w:t>Multiple PRACH resources across multiple LBT sub-bands/carriers for both contention-free and contention-based RA</w:t>
      </w:r>
    </w:p>
    <w:p w14:paraId="2601FB16" w14:textId="77777777" w:rsidR="00004300" w:rsidRPr="00726047" w:rsidRDefault="00004300" w:rsidP="007D421D">
      <w:pPr>
        <w:numPr>
          <w:ilvl w:val="0"/>
          <w:numId w:val="27"/>
        </w:numPr>
        <w:tabs>
          <w:tab w:val="clear" w:pos="720"/>
          <w:tab w:val="num" w:pos="1288"/>
        </w:tabs>
        <w:spacing w:after="0"/>
        <w:ind w:left="1288"/>
        <w:rPr>
          <w:b/>
          <w:lang w:val="en-US" w:eastAsia="x-none"/>
        </w:rPr>
      </w:pPr>
      <w:r w:rsidRPr="00726047">
        <w:rPr>
          <w:b/>
          <w:lang w:val="en-US" w:eastAsia="x-none"/>
        </w:rPr>
        <w:t>Time-domain enhancements</w:t>
      </w:r>
    </w:p>
    <w:p w14:paraId="350A40E7" w14:textId="77777777" w:rsidR="00004300" w:rsidRPr="00726047" w:rsidRDefault="00004300" w:rsidP="007D421D">
      <w:pPr>
        <w:numPr>
          <w:ilvl w:val="1"/>
          <w:numId w:val="27"/>
        </w:numPr>
        <w:tabs>
          <w:tab w:val="clear" w:pos="1440"/>
          <w:tab w:val="num" w:pos="2008"/>
        </w:tabs>
        <w:spacing w:after="0"/>
        <w:ind w:left="2008"/>
        <w:rPr>
          <w:lang w:val="en-US" w:eastAsia="x-none"/>
        </w:rPr>
      </w:pPr>
      <w:r w:rsidRPr="00726047">
        <w:rPr>
          <w:lang w:val="en-US" w:eastAsia="x-none"/>
        </w:rPr>
        <w:t xml:space="preserve">For connected mode UE, scheduling of PRACH resources via DCI. </w:t>
      </w:r>
    </w:p>
    <w:p w14:paraId="6568A373" w14:textId="77777777" w:rsidR="00004300" w:rsidRPr="00726047" w:rsidRDefault="00004300" w:rsidP="007D421D">
      <w:pPr>
        <w:numPr>
          <w:ilvl w:val="2"/>
          <w:numId w:val="27"/>
        </w:numPr>
        <w:tabs>
          <w:tab w:val="clear" w:pos="2160"/>
          <w:tab w:val="num" w:pos="2728"/>
        </w:tabs>
        <w:spacing w:after="0"/>
        <w:ind w:left="2728"/>
        <w:rPr>
          <w:lang w:val="en-US" w:eastAsia="x-none"/>
        </w:rPr>
      </w:pPr>
      <w:r w:rsidRPr="00726047">
        <w:rPr>
          <w:lang w:val="en-US" w:eastAsia="x-none"/>
        </w:rPr>
        <w:t>Triggered PRACH within TXOP can use a new resource</w:t>
      </w:r>
    </w:p>
    <w:p w14:paraId="7A536231" w14:textId="77777777" w:rsidR="00004300" w:rsidRPr="00726047" w:rsidRDefault="00004300" w:rsidP="007D421D">
      <w:pPr>
        <w:numPr>
          <w:ilvl w:val="1"/>
          <w:numId w:val="27"/>
        </w:numPr>
        <w:tabs>
          <w:tab w:val="clear" w:pos="1440"/>
          <w:tab w:val="num" w:pos="2008"/>
        </w:tabs>
        <w:spacing w:after="0"/>
        <w:ind w:left="2008"/>
        <w:rPr>
          <w:lang w:val="en-US" w:eastAsia="x-none"/>
        </w:rPr>
      </w:pPr>
      <w:r w:rsidRPr="00726047">
        <w:rPr>
          <w:lang w:val="en-US" w:eastAsia="x-none"/>
        </w:rPr>
        <w:t>For idle mode UE, scheduling of PRACH resources via paging</w:t>
      </w:r>
    </w:p>
    <w:p w14:paraId="6BEAF5D2" w14:textId="77777777" w:rsidR="00004300" w:rsidRPr="00726047" w:rsidRDefault="00004300" w:rsidP="007D421D">
      <w:pPr>
        <w:numPr>
          <w:ilvl w:val="2"/>
          <w:numId w:val="27"/>
        </w:numPr>
        <w:tabs>
          <w:tab w:val="clear" w:pos="2160"/>
          <w:tab w:val="num" w:pos="2728"/>
        </w:tabs>
        <w:spacing w:after="0"/>
        <w:ind w:left="2728"/>
        <w:rPr>
          <w:lang w:val="en-US" w:eastAsia="x-none"/>
        </w:rPr>
      </w:pPr>
      <w:r w:rsidRPr="00726047">
        <w:rPr>
          <w:lang w:val="en-US" w:eastAsia="x-none"/>
        </w:rPr>
        <w:t>Note: potential inefficiency in network resource due to paging across multiple cells</w:t>
      </w:r>
    </w:p>
    <w:p w14:paraId="2FE57B97" w14:textId="77777777" w:rsidR="00004300" w:rsidRPr="00726047" w:rsidRDefault="00004300" w:rsidP="007D421D">
      <w:pPr>
        <w:numPr>
          <w:ilvl w:val="1"/>
          <w:numId w:val="27"/>
        </w:numPr>
        <w:tabs>
          <w:tab w:val="clear" w:pos="1440"/>
          <w:tab w:val="num" w:pos="2008"/>
        </w:tabs>
        <w:spacing w:after="0"/>
        <w:ind w:left="2008"/>
        <w:rPr>
          <w:lang w:val="en-US" w:eastAsia="x-none"/>
        </w:rPr>
      </w:pPr>
      <w:r w:rsidRPr="00726047">
        <w:rPr>
          <w:lang w:val="en-US" w:eastAsia="x-none"/>
        </w:rPr>
        <w:t>Additional, new RACH resources are used immediately following detection of DRS transmission</w:t>
      </w:r>
    </w:p>
    <w:p w14:paraId="11C324E7" w14:textId="77777777" w:rsidR="00004300" w:rsidRPr="00726047" w:rsidRDefault="00004300" w:rsidP="007D421D">
      <w:pPr>
        <w:numPr>
          <w:ilvl w:val="1"/>
          <w:numId w:val="27"/>
        </w:numPr>
        <w:tabs>
          <w:tab w:val="clear" w:pos="1440"/>
          <w:tab w:val="num" w:pos="2008"/>
        </w:tabs>
        <w:spacing w:after="0"/>
        <w:ind w:left="2008"/>
        <w:rPr>
          <w:lang w:val="en-US" w:eastAsia="x-none"/>
        </w:rPr>
      </w:pPr>
      <w:r w:rsidRPr="00726047">
        <w:rPr>
          <w:lang w:val="en-US" w:eastAsia="x-none"/>
        </w:rPr>
        <w:t>Multiple PRACH transmissions before Msg2 reception in RAR window for initial access</w:t>
      </w:r>
    </w:p>
    <w:p w14:paraId="066B6B9E" w14:textId="77777777" w:rsidR="00004300" w:rsidRPr="00726047" w:rsidRDefault="00004300" w:rsidP="007D421D">
      <w:pPr>
        <w:numPr>
          <w:ilvl w:val="2"/>
          <w:numId w:val="27"/>
        </w:numPr>
        <w:tabs>
          <w:tab w:val="clear" w:pos="2160"/>
          <w:tab w:val="num" w:pos="2728"/>
        </w:tabs>
        <w:spacing w:after="0"/>
        <w:ind w:left="2728"/>
        <w:rPr>
          <w:lang w:val="en-US" w:eastAsia="x-none"/>
        </w:rPr>
      </w:pPr>
      <w:r w:rsidRPr="00726047">
        <w:rPr>
          <w:lang w:val="en-US" w:eastAsia="x-none"/>
        </w:rPr>
        <w:t>Number of allowed transmissions is pre-defined or indicated, e.g., in RMSI</w:t>
      </w:r>
    </w:p>
    <w:p w14:paraId="620C3AA1" w14:textId="77777777" w:rsidR="00004300" w:rsidRDefault="00004300" w:rsidP="007D421D">
      <w:pPr>
        <w:numPr>
          <w:ilvl w:val="2"/>
          <w:numId w:val="27"/>
        </w:numPr>
        <w:tabs>
          <w:tab w:val="clear" w:pos="2160"/>
          <w:tab w:val="num" w:pos="2728"/>
        </w:tabs>
        <w:spacing w:after="0"/>
        <w:ind w:left="2728"/>
        <w:rPr>
          <w:lang w:val="en-US" w:eastAsia="x-none"/>
        </w:rPr>
      </w:pPr>
      <w:r w:rsidRPr="00726047">
        <w:rPr>
          <w:lang w:val="en-US" w:eastAsia="x-none"/>
        </w:rPr>
        <w:t>FFS: How to handle potential multiple RARs to same UE</w:t>
      </w:r>
    </w:p>
    <w:p w14:paraId="0A320F1A" w14:textId="77777777" w:rsidR="00004300" w:rsidRDefault="00004300" w:rsidP="007D421D">
      <w:pPr>
        <w:numPr>
          <w:ilvl w:val="1"/>
          <w:numId w:val="27"/>
        </w:numPr>
        <w:tabs>
          <w:tab w:val="clear" w:pos="1440"/>
          <w:tab w:val="num" w:pos="2008"/>
        </w:tabs>
        <w:spacing w:after="0"/>
        <w:ind w:left="2008"/>
        <w:rPr>
          <w:lang w:val="en-US" w:eastAsia="x-none"/>
        </w:rPr>
      </w:pPr>
      <w:r w:rsidRPr="00726047">
        <w:rPr>
          <w:lang w:val="en-US" w:eastAsia="x-none"/>
        </w:rPr>
        <w:t>Group wise SSB-to-RO mapping by frequency first-time second manner, where grouping is in time domain</w:t>
      </w:r>
    </w:p>
    <w:p w14:paraId="4940505F" w14:textId="07C95A16" w:rsidR="00DA408C" w:rsidRPr="00A42AA7" w:rsidRDefault="00DA408C" w:rsidP="1D06BE7F">
      <w:pPr>
        <w:numPr>
          <w:ilvl w:val="1"/>
          <w:numId w:val="27"/>
        </w:numPr>
        <w:jc w:val="both"/>
        <w:rPr>
          <w:i/>
          <w:iCs/>
          <w:lang w:val="en-US"/>
        </w:rPr>
      </w:pPr>
    </w:p>
    <w:p w14:paraId="50284F35" w14:textId="5291A16F" w:rsidR="003514AB" w:rsidRPr="007028CA" w:rsidRDefault="1D06BE7F" w:rsidP="1D06BE7F">
      <w:pPr>
        <w:jc w:val="both"/>
        <w:rPr>
          <w:b/>
          <w:bCs/>
          <w:lang w:val="en-US"/>
        </w:rPr>
      </w:pPr>
      <w:r w:rsidRPr="1D06BE7F">
        <w:rPr>
          <w:b/>
          <w:bCs/>
          <w:lang w:val="en-US"/>
        </w:rPr>
        <w:t xml:space="preserve">Observation </w:t>
      </w:r>
      <w:r w:rsidR="008334F1">
        <w:rPr>
          <w:b/>
          <w:bCs/>
          <w:lang w:val="en-US"/>
        </w:rPr>
        <w:t>2</w:t>
      </w:r>
      <w:r w:rsidRPr="1D06BE7F">
        <w:rPr>
          <w:b/>
          <w:bCs/>
          <w:lang w:val="en-US"/>
        </w:rPr>
        <w:t>: An increased RAR window size mitigates the impact of LBT failures during an HO process.</w:t>
      </w:r>
    </w:p>
    <w:p w14:paraId="5E0528EB" w14:textId="1AA36442" w:rsidR="002760F7" w:rsidRPr="00003ECE" w:rsidRDefault="001C464F" w:rsidP="007D421D">
      <w:pPr>
        <w:rPr>
          <w:lang w:val="en-US"/>
        </w:rPr>
      </w:pPr>
      <w:r>
        <w:t>Our view is that enhancements in the RAR procedure are enough to address the HO robustness issues coming from LBT. Therefore, w</w:t>
      </w:r>
      <w:r w:rsidR="00E61AF9">
        <w:t xml:space="preserve">e think that </w:t>
      </w:r>
      <w:r w:rsidR="1D06BE7F">
        <w:t xml:space="preserve">the handover and </w:t>
      </w:r>
      <w:r w:rsidR="1D06BE7F" w:rsidRPr="1D06BE7F">
        <w:rPr>
          <w:lang w:val="en-US"/>
        </w:rPr>
        <w:t xml:space="preserve">(P)SCell management </w:t>
      </w:r>
      <w:r w:rsidR="1D06BE7F">
        <w:t xml:space="preserve">procedures agreed </w:t>
      </w:r>
      <w:r w:rsidR="00B3025E">
        <w:t>for</w:t>
      </w:r>
      <w:r w:rsidR="1D06BE7F">
        <w:t xml:space="preserve"> NR </w:t>
      </w:r>
      <w:r w:rsidR="00B3025E">
        <w:t xml:space="preserve">operating </w:t>
      </w:r>
      <w:r>
        <w:t>in licensed bands are enough for NR-U in Rel-16</w:t>
      </w:r>
      <w:r w:rsidR="1D06BE7F">
        <w:t xml:space="preserve">. Any mobility enhancements for operation in unlicensed spectrum may be considered in </w:t>
      </w:r>
      <w:r w:rsidR="00B3025E">
        <w:t>future releases.</w:t>
      </w:r>
      <w:r w:rsidR="1D06BE7F">
        <w:t xml:space="preserve"> </w:t>
      </w:r>
    </w:p>
    <w:p w14:paraId="36D84A43" w14:textId="5F7B6E91" w:rsidR="009A0EA6" w:rsidRPr="008334F1" w:rsidRDefault="1D06BE7F" w:rsidP="1D06BE7F">
      <w:pPr>
        <w:jc w:val="both"/>
        <w:rPr>
          <w:b/>
          <w:bCs/>
          <w:lang w:val="en-US"/>
        </w:rPr>
      </w:pPr>
      <w:r w:rsidRPr="008334F1">
        <w:rPr>
          <w:b/>
          <w:bCs/>
        </w:rPr>
        <w:t xml:space="preserve">Proposal </w:t>
      </w:r>
      <w:r w:rsidR="008334F1" w:rsidRPr="008334F1">
        <w:rPr>
          <w:b/>
          <w:bCs/>
        </w:rPr>
        <w:t>3</w:t>
      </w:r>
      <w:r w:rsidRPr="008334F1">
        <w:rPr>
          <w:b/>
          <w:bCs/>
        </w:rPr>
        <w:t>:</w:t>
      </w:r>
      <w:r w:rsidRPr="008334F1">
        <w:rPr>
          <w:b/>
          <w:bCs/>
          <w:lang w:val="en-US"/>
        </w:rPr>
        <w:t xml:space="preserve"> </w:t>
      </w:r>
      <w:r w:rsidR="00B3025E" w:rsidRPr="007D421D">
        <w:rPr>
          <w:b/>
        </w:rPr>
        <w:t xml:space="preserve">The handover and </w:t>
      </w:r>
      <w:r w:rsidR="00B3025E" w:rsidRPr="007D421D">
        <w:rPr>
          <w:b/>
          <w:lang w:val="en-US"/>
        </w:rPr>
        <w:t xml:space="preserve">(P)SCell management </w:t>
      </w:r>
      <w:r w:rsidR="00B3025E" w:rsidRPr="007D421D">
        <w:rPr>
          <w:b/>
        </w:rPr>
        <w:t xml:space="preserve">procedures agreed for NR operating in licensed bands are </w:t>
      </w:r>
      <w:r w:rsidR="007D421D">
        <w:rPr>
          <w:b/>
        </w:rPr>
        <w:t>suitable</w:t>
      </w:r>
      <w:r w:rsidR="00B3025E" w:rsidRPr="007D421D">
        <w:rPr>
          <w:b/>
        </w:rPr>
        <w:t xml:space="preserve"> for NR-U in Rel-16. Any mobility enhancements for operation in unlicensed spectrum may be considered in future releases.</w:t>
      </w:r>
    </w:p>
    <w:p w14:paraId="43A12B72" w14:textId="7901EE78" w:rsidR="00CD4C7B" w:rsidRPr="006E13D1" w:rsidRDefault="0082592B" w:rsidP="00FC44B5">
      <w:pPr>
        <w:pStyle w:val="Heading1"/>
        <w:pBdr>
          <w:top w:val="single" w:sz="12" w:space="4" w:color="auto"/>
        </w:pBdr>
      </w:pPr>
      <w:r>
        <w:rPr>
          <w:lang w:eastAsia="zh-CN"/>
        </w:rPr>
        <w:lastRenderedPageBreak/>
        <w:t>5</w:t>
      </w:r>
      <w:r w:rsidR="00CD4C7B" w:rsidRPr="006E13D1">
        <w:tab/>
      </w:r>
      <w:r w:rsidR="007B6CFC">
        <w:rPr>
          <w:lang w:eastAsia="zh-CN"/>
        </w:rPr>
        <w:t xml:space="preserve">Conclusion </w:t>
      </w:r>
    </w:p>
    <w:p w14:paraId="54569CF4" w14:textId="253D280B" w:rsidR="00293039" w:rsidRDefault="1D06BE7F" w:rsidP="007A63E3">
      <w:pPr>
        <w:jc w:val="both"/>
      </w:pPr>
      <w:r>
        <w:t>In this paper we discussed open items on RRC connected mode mobility for NR-U, and made the following observations and proposals:</w:t>
      </w:r>
    </w:p>
    <w:p w14:paraId="34A222FC" w14:textId="77777777" w:rsidR="007D421D" w:rsidRPr="003D0AE2" w:rsidRDefault="007D421D" w:rsidP="007D421D">
      <w:pPr>
        <w:jc w:val="both"/>
        <w:rPr>
          <w:b/>
          <w:bCs/>
        </w:rPr>
      </w:pPr>
      <w:bookmarkStart w:id="2" w:name="_Hlk528309070"/>
      <w:r w:rsidRPr="1D06BE7F">
        <w:rPr>
          <w:b/>
          <w:bCs/>
        </w:rPr>
        <w:t>Observation 1:</w:t>
      </w:r>
      <w:r w:rsidRPr="1D06BE7F">
        <w:rPr>
          <w:b/>
          <w:bCs/>
          <w:lang w:val="en-US"/>
        </w:rPr>
        <w:t xml:space="preserve"> Adding a blacklist or whitelist of cells in the measurement object is supported in NR, and therefore applicable also to NR-U. Those lists </w:t>
      </w:r>
      <w:r w:rsidRPr="1D06BE7F">
        <w:rPr>
          <w:b/>
          <w:bCs/>
          <w:lang w:val="en-US" w:eastAsia="zh-CN"/>
        </w:rPr>
        <w:t xml:space="preserve">are sufficient to </w:t>
      </w:r>
      <w:r w:rsidRPr="1D06BE7F">
        <w:rPr>
          <w:b/>
          <w:bCs/>
        </w:rPr>
        <w:t>avoid measuring and reporting cells which are not suitable for mobility (e.g. belonging to a different PLMN).</w:t>
      </w:r>
    </w:p>
    <w:p w14:paraId="67E0C02C" w14:textId="77777777" w:rsidR="007D421D" w:rsidRPr="00B77D08" w:rsidRDefault="007D421D" w:rsidP="007D421D">
      <w:pPr>
        <w:jc w:val="both"/>
        <w:rPr>
          <w:b/>
          <w:bCs/>
        </w:rPr>
      </w:pPr>
      <w:r w:rsidRPr="1D06BE7F">
        <w:rPr>
          <w:b/>
          <w:bCs/>
        </w:rPr>
        <w:t xml:space="preserve">Proposal </w:t>
      </w:r>
      <w:r>
        <w:rPr>
          <w:b/>
          <w:bCs/>
        </w:rPr>
        <w:t>1</w:t>
      </w:r>
      <w:r w:rsidRPr="1D06BE7F">
        <w:rPr>
          <w:b/>
          <w:bCs/>
        </w:rPr>
        <w:t>:</w:t>
      </w:r>
      <w:r w:rsidRPr="1D06BE7F">
        <w:rPr>
          <w:b/>
          <w:bCs/>
          <w:lang w:val="en-US"/>
        </w:rPr>
        <w:t xml:space="preserve"> NR-U adopts same triggering criteria as in baseline Rel-15. That is, no new triggering criteria based on Channel Occupancy and/or UE-reported RSSI measurements, only triggering criteria based on RSRP, RSRQ and SINR.</w:t>
      </w:r>
    </w:p>
    <w:p w14:paraId="343958A3" w14:textId="1B65AA40" w:rsidR="007D421D" w:rsidRPr="0075578C" w:rsidRDefault="007D421D" w:rsidP="007D421D">
      <w:pPr>
        <w:jc w:val="both"/>
        <w:rPr>
          <w:b/>
          <w:bCs/>
        </w:rPr>
      </w:pPr>
      <w:r w:rsidRPr="1D06BE7F">
        <w:rPr>
          <w:b/>
          <w:bCs/>
        </w:rPr>
        <w:t xml:space="preserve">Proposal </w:t>
      </w:r>
      <w:r>
        <w:rPr>
          <w:b/>
          <w:bCs/>
        </w:rPr>
        <w:t>2</w:t>
      </w:r>
      <w:r w:rsidRPr="1D06BE7F">
        <w:rPr>
          <w:b/>
          <w:bCs/>
        </w:rPr>
        <w:t>: In NR-U as in LAA, only periodic reporting of Channel Oc</w:t>
      </w:r>
      <w:r>
        <w:rPr>
          <w:b/>
          <w:bCs/>
        </w:rPr>
        <w:t>cupancy and RSSI is supported.</w:t>
      </w:r>
    </w:p>
    <w:p w14:paraId="507D80B6" w14:textId="77777777" w:rsidR="007D421D" w:rsidRPr="007028CA" w:rsidRDefault="007D421D" w:rsidP="007D421D">
      <w:pPr>
        <w:jc w:val="both"/>
        <w:rPr>
          <w:b/>
          <w:bCs/>
          <w:lang w:val="en-US"/>
        </w:rPr>
      </w:pPr>
      <w:r w:rsidRPr="1D06BE7F">
        <w:rPr>
          <w:b/>
          <w:bCs/>
          <w:lang w:val="en-US"/>
        </w:rPr>
        <w:t xml:space="preserve">Observation </w:t>
      </w:r>
      <w:r>
        <w:rPr>
          <w:b/>
          <w:bCs/>
          <w:lang w:val="en-US"/>
        </w:rPr>
        <w:t>2</w:t>
      </w:r>
      <w:r w:rsidRPr="1D06BE7F">
        <w:rPr>
          <w:b/>
          <w:bCs/>
          <w:lang w:val="en-US"/>
        </w:rPr>
        <w:t>: An increased RAR window size mitigates the impact of LBT failures during an HO process.</w:t>
      </w:r>
    </w:p>
    <w:p w14:paraId="017D2C5F" w14:textId="77777777" w:rsidR="007D421D" w:rsidRPr="008334F1" w:rsidRDefault="007D421D" w:rsidP="007D421D">
      <w:pPr>
        <w:jc w:val="both"/>
        <w:rPr>
          <w:b/>
          <w:bCs/>
          <w:lang w:val="en-US"/>
        </w:rPr>
      </w:pPr>
      <w:r w:rsidRPr="008334F1">
        <w:rPr>
          <w:b/>
          <w:bCs/>
        </w:rPr>
        <w:t>Proposal 3:</w:t>
      </w:r>
      <w:r w:rsidRPr="008334F1">
        <w:rPr>
          <w:b/>
          <w:bCs/>
          <w:lang w:val="en-US"/>
        </w:rPr>
        <w:t xml:space="preserve"> </w:t>
      </w:r>
      <w:r w:rsidRPr="007D421D">
        <w:rPr>
          <w:b/>
        </w:rPr>
        <w:t xml:space="preserve">The handover and </w:t>
      </w:r>
      <w:r w:rsidRPr="007D421D">
        <w:rPr>
          <w:b/>
          <w:lang w:val="en-US"/>
        </w:rPr>
        <w:t xml:space="preserve">(P)SCell management </w:t>
      </w:r>
      <w:r w:rsidRPr="007D421D">
        <w:rPr>
          <w:b/>
        </w:rPr>
        <w:t xml:space="preserve">procedures agreed for NR operating in licensed bands are </w:t>
      </w:r>
      <w:r>
        <w:rPr>
          <w:b/>
        </w:rPr>
        <w:t>suitable</w:t>
      </w:r>
      <w:r w:rsidRPr="007D421D">
        <w:rPr>
          <w:b/>
        </w:rPr>
        <w:t xml:space="preserve"> for NR-U in Rel-16. Any mobility enhancements for operation in unlicensed spectrum may be considered in future releases.</w:t>
      </w:r>
    </w:p>
    <w:p w14:paraId="0FDCFAC2" w14:textId="77777777" w:rsidR="00CD4C7B" w:rsidRPr="006E13D1" w:rsidRDefault="1D06BE7F" w:rsidP="00297615">
      <w:pPr>
        <w:pStyle w:val="Heading1"/>
        <w:jc w:val="both"/>
      </w:pPr>
      <w:bookmarkStart w:id="3" w:name="_GoBack"/>
      <w:bookmarkEnd w:id="2"/>
      <w:bookmarkEnd w:id="3"/>
      <w:r>
        <w:t>References</w:t>
      </w:r>
    </w:p>
    <w:p w14:paraId="57DB4280" w14:textId="77777777" w:rsidR="00F81F92" w:rsidRDefault="1D06BE7F" w:rsidP="00F81F92">
      <w:pPr>
        <w:numPr>
          <w:ilvl w:val="0"/>
          <w:numId w:val="22"/>
        </w:numPr>
        <w:overflowPunct w:val="0"/>
        <w:autoSpaceDE w:val="0"/>
        <w:autoSpaceDN w:val="0"/>
        <w:adjustRightInd w:val="0"/>
        <w:textAlignment w:val="baseline"/>
      </w:pPr>
      <w:r w:rsidRPr="1D06BE7F">
        <w:rPr>
          <w:lang w:val="en-US" w:eastAsia="zh-CN"/>
        </w:rPr>
        <w:t>3GPP TS 38.331</w:t>
      </w:r>
    </w:p>
    <w:p w14:paraId="055200B7" w14:textId="2DE3F531" w:rsidR="00CD4C7B" w:rsidRDefault="1D06BE7F" w:rsidP="00CD4C7B">
      <w:pPr>
        <w:numPr>
          <w:ilvl w:val="0"/>
          <w:numId w:val="22"/>
        </w:numPr>
        <w:overflowPunct w:val="0"/>
        <w:autoSpaceDE w:val="0"/>
        <w:autoSpaceDN w:val="0"/>
        <w:adjustRightInd w:val="0"/>
        <w:textAlignment w:val="baseline"/>
      </w:pPr>
      <w:r>
        <w:t>3GPP TS 38.300</w:t>
      </w:r>
    </w:p>
    <w:p w14:paraId="1D422B60" w14:textId="736A7F67" w:rsidR="0007180E" w:rsidRDefault="0007180E" w:rsidP="00CD4C7B">
      <w:pPr>
        <w:numPr>
          <w:ilvl w:val="0"/>
          <w:numId w:val="22"/>
        </w:numPr>
        <w:overflowPunct w:val="0"/>
        <w:autoSpaceDE w:val="0"/>
        <w:autoSpaceDN w:val="0"/>
        <w:adjustRightInd w:val="0"/>
        <w:textAlignment w:val="baseline"/>
      </w:pPr>
      <w:r>
        <w:t>TR 38.889</w:t>
      </w:r>
    </w:p>
    <w:sectPr w:rsidR="0007180E" w:rsidSect="0041273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7EAE8" w14:textId="77777777" w:rsidR="00F43897" w:rsidRDefault="00F43897">
      <w:r>
        <w:separator/>
      </w:r>
    </w:p>
  </w:endnote>
  <w:endnote w:type="continuationSeparator" w:id="0">
    <w:p w14:paraId="2288F023" w14:textId="77777777" w:rsidR="00F43897" w:rsidRDefault="00F43897">
      <w:r>
        <w:continuationSeparator/>
      </w:r>
    </w:p>
  </w:endnote>
  <w:endnote w:type="continuationNotice" w:id="1">
    <w:p w14:paraId="659A9109" w14:textId="77777777" w:rsidR="00F43897" w:rsidRDefault="00F438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014A0" w14:textId="77777777" w:rsidR="00F43897" w:rsidRDefault="00F43897">
      <w:r>
        <w:separator/>
      </w:r>
    </w:p>
  </w:footnote>
  <w:footnote w:type="continuationSeparator" w:id="0">
    <w:p w14:paraId="1C424F8E" w14:textId="77777777" w:rsidR="00F43897" w:rsidRDefault="00F43897">
      <w:r>
        <w:continuationSeparator/>
      </w:r>
    </w:p>
  </w:footnote>
  <w:footnote w:type="continuationNotice" w:id="1">
    <w:p w14:paraId="1B173EEE" w14:textId="77777777" w:rsidR="00F43897" w:rsidRDefault="00F438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01B4B"/>
    <w:multiLevelType w:val="hybridMultilevel"/>
    <w:tmpl w:val="66FAE944"/>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92114E"/>
    <w:multiLevelType w:val="hybridMultilevel"/>
    <w:tmpl w:val="C1C058C0"/>
    <w:lvl w:ilvl="0" w:tplc="4AB8E3F0">
      <w:start w:val="3"/>
      <w:numFmt w:val="bullet"/>
      <w:lvlText w:val="-"/>
      <w:lvlJc w:val="left"/>
      <w:pPr>
        <w:ind w:left="720" w:hanging="360"/>
      </w:pPr>
      <w:rPr>
        <w:rFonts w:ascii="Arial" w:eastAsia="Times New Roman" w:hAnsi="Arial" w:hint="default"/>
        <w:b w:val="0"/>
        <w:i w:val="0"/>
        <w:color w:val="auto"/>
        <w:sz w:val="24"/>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8BF4FC6"/>
    <w:multiLevelType w:val="hybridMultilevel"/>
    <w:tmpl w:val="F83FA97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BB84326"/>
    <w:multiLevelType w:val="hybridMultilevel"/>
    <w:tmpl w:val="7D466C20"/>
    <w:lvl w:ilvl="0" w:tplc="95D24782">
      <w:start w:val="1"/>
      <w:numFmt w:val="bullet"/>
      <w:lvlText w:val=""/>
      <w:lvlJc w:val="left"/>
      <w:pPr>
        <w:tabs>
          <w:tab w:val="num" w:pos="720"/>
        </w:tabs>
        <w:ind w:left="720" w:hanging="360"/>
      </w:pPr>
      <w:rPr>
        <w:rFonts w:ascii="Wingdings" w:hAnsi="Wingdings" w:hint="default"/>
      </w:rPr>
    </w:lvl>
    <w:lvl w:ilvl="1" w:tplc="CFC0AFFA">
      <w:start w:val="1"/>
      <w:numFmt w:val="bullet"/>
      <w:lvlText w:val=""/>
      <w:lvlJc w:val="left"/>
      <w:pPr>
        <w:tabs>
          <w:tab w:val="num" w:pos="1440"/>
        </w:tabs>
        <w:ind w:left="1440" w:hanging="360"/>
      </w:pPr>
      <w:rPr>
        <w:rFonts w:ascii="Wingdings" w:hAnsi="Wingdings" w:hint="default"/>
      </w:rPr>
    </w:lvl>
    <w:lvl w:ilvl="2" w:tplc="7BC488A8">
      <w:start w:val="1351"/>
      <w:numFmt w:val="bullet"/>
      <w:lvlText w:val=""/>
      <w:lvlJc w:val="left"/>
      <w:pPr>
        <w:tabs>
          <w:tab w:val="num" w:pos="2160"/>
        </w:tabs>
        <w:ind w:left="2160" w:hanging="360"/>
      </w:pPr>
      <w:rPr>
        <w:rFonts w:ascii="Wingdings" w:hAnsi="Wingdings" w:hint="default"/>
      </w:rPr>
    </w:lvl>
    <w:lvl w:ilvl="3" w:tplc="14185510" w:tentative="1">
      <w:start w:val="1"/>
      <w:numFmt w:val="bullet"/>
      <w:lvlText w:val=""/>
      <w:lvlJc w:val="left"/>
      <w:pPr>
        <w:tabs>
          <w:tab w:val="num" w:pos="2880"/>
        </w:tabs>
        <w:ind w:left="2880" w:hanging="360"/>
      </w:pPr>
      <w:rPr>
        <w:rFonts w:ascii="Wingdings" w:hAnsi="Wingdings" w:hint="default"/>
      </w:rPr>
    </w:lvl>
    <w:lvl w:ilvl="4" w:tplc="BA7807E2" w:tentative="1">
      <w:start w:val="1"/>
      <w:numFmt w:val="bullet"/>
      <w:lvlText w:val=""/>
      <w:lvlJc w:val="left"/>
      <w:pPr>
        <w:tabs>
          <w:tab w:val="num" w:pos="3600"/>
        </w:tabs>
        <w:ind w:left="3600" w:hanging="360"/>
      </w:pPr>
      <w:rPr>
        <w:rFonts w:ascii="Wingdings" w:hAnsi="Wingdings" w:hint="default"/>
      </w:rPr>
    </w:lvl>
    <w:lvl w:ilvl="5" w:tplc="C2A019C2" w:tentative="1">
      <w:start w:val="1"/>
      <w:numFmt w:val="bullet"/>
      <w:lvlText w:val=""/>
      <w:lvlJc w:val="left"/>
      <w:pPr>
        <w:tabs>
          <w:tab w:val="num" w:pos="4320"/>
        </w:tabs>
        <w:ind w:left="4320" w:hanging="360"/>
      </w:pPr>
      <w:rPr>
        <w:rFonts w:ascii="Wingdings" w:hAnsi="Wingdings" w:hint="default"/>
      </w:rPr>
    </w:lvl>
    <w:lvl w:ilvl="6" w:tplc="929852F6" w:tentative="1">
      <w:start w:val="1"/>
      <w:numFmt w:val="bullet"/>
      <w:lvlText w:val=""/>
      <w:lvlJc w:val="left"/>
      <w:pPr>
        <w:tabs>
          <w:tab w:val="num" w:pos="5040"/>
        </w:tabs>
        <w:ind w:left="5040" w:hanging="360"/>
      </w:pPr>
      <w:rPr>
        <w:rFonts w:ascii="Wingdings" w:hAnsi="Wingdings" w:hint="default"/>
      </w:rPr>
    </w:lvl>
    <w:lvl w:ilvl="7" w:tplc="41BC441C" w:tentative="1">
      <w:start w:val="1"/>
      <w:numFmt w:val="bullet"/>
      <w:lvlText w:val=""/>
      <w:lvlJc w:val="left"/>
      <w:pPr>
        <w:tabs>
          <w:tab w:val="num" w:pos="5760"/>
        </w:tabs>
        <w:ind w:left="5760" w:hanging="360"/>
      </w:pPr>
      <w:rPr>
        <w:rFonts w:ascii="Wingdings" w:hAnsi="Wingdings" w:hint="default"/>
      </w:rPr>
    </w:lvl>
    <w:lvl w:ilvl="8" w:tplc="3A706B5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090B1F"/>
    <w:multiLevelType w:val="hybridMultilevel"/>
    <w:tmpl w:val="96B4ECB4"/>
    <w:lvl w:ilvl="0" w:tplc="757204A0">
      <w:start w:val="1"/>
      <w:numFmt w:val="bullet"/>
      <w:lvlText w:val="•"/>
      <w:lvlJc w:val="left"/>
      <w:pPr>
        <w:tabs>
          <w:tab w:val="num" w:pos="720"/>
        </w:tabs>
        <w:ind w:left="720" w:hanging="360"/>
      </w:pPr>
      <w:rPr>
        <w:rFonts w:ascii="Arial" w:hAnsi="Arial" w:hint="default"/>
      </w:rPr>
    </w:lvl>
    <w:lvl w:ilvl="1" w:tplc="D2466EF6">
      <w:start w:val="279"/>
      <w:numFmt w:val="bullet"/>
      <w:lvlText w:val="–"/>
      <w:lvlJc w:val="left"/>
      <w:pPr>
        <w:tabs>
          <w:tab w:val="num" w:pos="1440"/>
        </w:tabs>
        <w:ind w:left="1440" w:hanging="360"/>
      </w:pPr>
      <w:rPr>
        <w:rFonts w:ascii="Arial" w:hAnsi="Arial" w:hint="default"/>
      </w:rPr>
    </w:lvl>
    <w:lvl w:ilvl="2" w:tplc="3CDAD914">
      <w:start w:val="1"/>
      <w:numFmt w:val="bullet"/>
      <w:lvlText w:val="•"/>
      <w:lvlJc w:val="left"/>
      <w:pPr>
        <w:tabs>
          <w:tab w:val="num" w:pos="2160"/>
        </w:tabs>
        <w:ind w:left="2160" w:hanging="360"/>
      </w:pPr>
      <w:rPr>
        <w:rFonts w:ascii="Arial" w:hAnsi="Arial" w:hint="default"/>
      </w:rPr>
    </w:lvl>
    <w:lvl w:ilvl="3" w:tplc="91223356" w:tentative="1">
      <w:start w:val="1"/>
      <w:numFmt w:val="bullet"/>
      <w:lvlText w:val="•"/>
      <w:lvlJc w:val="left"/>
      <w:pPr>
        <w:tabs>
          <w:tab w:val="num" w:pos="2880"/>
        </w:tabs>
        <w:ind w:left="2880" w:hanging="360"/>
      </w:pPr>
      <w:rPr>
        <w:rFonts w:ascii="Arial" w:hAnsi="Arial" w:hint="default"/>
      </w:rPr>
    </w:lvl>
    <w:lvl w:ilvl="4" w:tplc="D506FA92" w:tentative="1">
      <w:start w:val="1"/>
      <w:numFmt w:val="bullet"/>
      <w:lvlText w:val="•"/>
      <w:lvlJc w:val="left"/>
      <w:pPr>
        <w:tabs>
          <w:tab w:val="num" w:pos="3600"/>
        </w:tabs>
        <w:ind w:left="3600" w:hanging="360"/>
      </w:pPr>
      <w:rPr>
        <w:rFonts w:ascii="Arial" w:hAnsi="Arial" w:hint="default"/>
      </w:rPr>
    </w:lvl>
    <w:lvl w:ilvl="5" w:tplc="4B90385A" w:tentative="1">
      <w:start w:val="1"/>
      <w:numFmt w:val="bullet"/>
      <w:lvlText w:val="•"/>
      <w:lvlJc w:val="left"/>
      <w:pPr>
        <w:tabs>
          <w:tab w:val="num" w:pos="4320"/>
        </w:tabs>
        <w:ind w:left="4320" w:hanging="360"/>
      </w:pPr>
      <w:rPr>
        <w:rFonts w:ascii="Arial" w:hAnsi="Arial" w:hint="default"/>
      </w:rPr>
    </w:lvl>
    <w:lvl w:ilvl="6" w:tplc="5EB0DE3C" w:tentative="1">
      <w:start w:val="1"/>
      <w:numFmt w:val="bullet"/>
      <w:lvlText w:val="•"/>
      <w:lvlJc w:val="left"/>
      <w:pPr>
        <w:tabs>
          <w:tab w:val="num" w:pos="5040"/>
        </w:tabs>
        <w:ind w:left="5040" w:hanging="360"/>
      </w:pPr>
      <w:rPr>
        <w:rFonts w:ascii="Arial" w:hAnsi="Arial" w:hint="default"/>
      </w:rPr>
    </w:lvl>
    <w:lvl w:ilvl="7" w:tplc="38522900" w:tentative="1">
      <w:start w:val="1"/>
      <w:numFmt w:val="bullet"/>
      <w:lvlText w:val="•"/>
      <w:lvlJc w:val="left"/>
      <w:pPr>
        <w:tabs>
          <w:tab w:val="num" w:pos="5760"/>
        </w:tabs>
        <w:ind w:left="5760" w:hanging="360"/>
      </w:pPr>
      <w:rPr>
        <w:rFonts w:ascii="Arial" w:hAnsi="Arial" w:hint="default"/>
      </w:rPr>
    </w:lvl>
    <w:lvl w:ilvl="8" w:tplc="30E077E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1A4612"/>
    <w:multiLevelType w:val="hybridMultilevel"/>
    <w:tmpl w:val="A0D0BC16"/>
    <w:lvl w:ilvl="0" w:tplc="04090001">
      <w:start w:val="1"/>
      <w:numFmt w:val="bullet"/>
      <w:lvlText w:val=""/>
      <w:lvlJc w:val="left"/>
      <w:pPr>
        <w:ind w:left="758" w:hanging="360"/>
      </w:pPr>
      <w:rPr>
        <w:rFonts w:ascii="Symbol" w:hAnsi="Symbol"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8" w15:restartNumberingAfterBreak="0">
    <w:nsid w:val="15BD386A"/>
    <w:multiLevelType w:val="hybridMultilevel"/>
    <w:tmpl w:val="2312C16C"/>
    <w:lvl w:ilvl="0" w:tplc="5C64E510">
      <w:start w:val="5"/>
      <w:numFmt w:val="bullet"/>
      <w:lvlText w:val="-"/>
      <w:lvlJc w:val="left"/>
      <w:pPr>
        <w:ind w:left="1552" w:hanging="360"/>
      </w:pPr>
      <w:rPr>
        <w:rFonts w:ascii="Arial" w:eastAsia="Times New Roman" w:hAnsi="Arial" w:cs="Arial" w:hint="default"/>
      </w:rPr>
    </w:lvl>
    <w:lvl w:ilvl="1" w:tplc="041D0003" w:tentative="1">
      <w:start w:val="1"/>
      <w:numFmt w:val="bullet"/>
      <w:lvlText w:val="o"/>
      <w:lvlJc w:val="left"/>
      <w:pPr>
        <w:ind w:left="2272" w:hanging="360"/>
      </w:pPr>
      <w:rPr>
        <w:rFonts w:ascii="Courier New" w:hAnsi="Courier New" w:cs="Courier New" w:hint="default"/>
      </w:rPr>
    </w:lvl>
    <w:lvl w:ilvl="2" w:tplc="041D0005" w:tentative="1">
      <w:start w:val="1"/>
      <w:numFmt w:val="bullet"/>
      <w:lvlText w:val=""/>
      <w:lvlJc w:val="left"/>
      <w:pPr>
        <w:ind w:left="2992" w:hanging="360"/>
      </w:pPr>
      <w:rPr>
        <w:rFonts w:ascii="Wingdings" w:hAnsi="Wingdings" w:hint="default"/>
      </w:rPr>
    </w:lvl>
    <w:lvl w:ilvl="3" w:tplc="041D0001" w:tentative="1">
      <w:start w:val="1"/>
      <w:numFmt w:val="bullet"/>
      <w:lvlText w:val=""/>
      <w:lvlJc w:val="left"/>
      <w:pPr>
        <w:ind w:left="3712" w:hanging="360"/>
      </w:pPr>
      <w:rPr>
        <w:rFonts w:ascii="Symbol" w:hAnsi="Symbol" w:hint="default"/>
      </w:rPr>
    </w:lvl>
    <w:lvl w:ilvl="4" w:tplc="041D0003" w:tentative="1">
      <w:start w:val="1"/>
      <w:numFmt w:val="bullet"/>
      <w:lvlText w:val="o"/>
      <w:lvlJc w:val="left"/>
      <w:pPr>
        <w:ind w:left="4432" w:hanging="360"/>
      </w:pPr>
      <w:rPr>
        <w:rFonts w:ascii="Courier New" w:hAnsi="Courier New" w:cs="Courier New" w:hint="default"/>
      </w:rPr>
    </w:lvl>
    <w:lvl w:ilvl="5" w:tplc="041D0005" w:tentative="1">
      <w:start w:val="1"/>
      <w:numFmt w:val="bullet"/>
      <w:lvlText w:val=""/>
      <w:lvlJc w:val="left"/>
      <w:pPr>
        <w:ind w:left="5152" w:hanging="360"/>
      </w:pPr>
      <w:rPr>
        <w:rFonts w:ascii="Wingdings" w:hAnsi="Wingdings" w:hint="default"/>
      </w:rPr>
    </w:lvl>
    <w:lvl w:ilvl="6" w:tplc="041D0001" w:tentative="1">
      <w:start w:val="1"/>
      <w:numFmt w:val="bullet"/>
      <w:lvlText w:val=""/>
      <w:lvlJc w:val="left"/>
      <w:pPr>
        <w:ind w:left="5872" w:hanging="360"/>
      </w:pPr>
      <w:rPr>
        <w:rFonts w:ascii="Symbol" w:hAnsi="Symbol" w:hint="default"/>
      </w:rPr>
    </w:lvl>
    <w:lvl w:ilvl="7" w:tplc="041D0003" w:tentative="1">
      <w:start w:val="1"/>
      <w:numFmt w:val="bullet"/>
      <w:lvlText w:val="o"/>
      <w:lvlJc w:val="left"/>
      <w:pPr>
        <w:ind w:left="6592" w:hanging="360"/>
      </w:pPr>
      <w:rPr>
        <w:rFonts w:ascii="Courier New" w:hAnsi="Courier New" w:cs="Courier New" w:hint="default"/>
      </w:rPr>
    </w:lvl>
    <w:lvl w:ilvl="8" w:tplc="041D0005" w:tentative="1">
      <w:start w:val="1"/>
      <w:numFmt w:val="bullet"/>
      <w:lvlText w:val=""/>
      <w:lvlJc w:val="left"/>
      <w:pPr>
        <w:ind w:left="7312" w:hanging="360"/>
      </w:pPr>
      <w:rPr>
        <w:rFonts w:ascii="Wingdings" w:hAnsi="Wingdings" w:hint="default"/>
      </w:rPr>
    </w:lvl>
  </w:abstractNum>
  <w:abstractNum w:abstractNumId="9"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AE3089"/>
    <w:multiLevelType w:val="hybridMultilevel"/>
    <w:tmpl w:val="F0F206AA"/>
    <w:lvl w:ilvl="0" w:tplc="3E4E9A68">
      <w:start w:val="4"/>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AA2CB9"/>
    <w:multiLevelType w:val="hybridMultilevel"/>
    <w:tmpl w:val="04604C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AC191DA"/>
    <w:multiLevelType w:val="singleLevel"/>
    <w:tmpl w:val="5AC191DA"/>
    <w:lvl w:ilvl="0">
      <w:start w:val="1"/>
      <w:numFmt w:val="bullet"/>
      <w:lvlText w:val=""/>
      <w:lvlJc w:val="left"/>
      <w:pPr>
        <w:ind w:left="420" w:hanging="420"/>
      </w:pPr>
      <w:rPr>
        <w:rFonts w:ascii="Wingdings" w:hAnsi="Wingdings" w:hint="default"/>
      </w:rPr>
    </w:lvl>
  </w:abstractNum>
  <w:abstractNum w:abstractNumId="19" w15:restartNumberingAfterBreak="0">
    <w:nsid w:val="607664BC"/>
    <w:multiLevelType w:val="hybridMultilevel"/>
    <w:tmpl w:val="A96C3B2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607836DB"/>
    <w:multiLevelType w:val="hybridMultilevel"/>
    <w:tmpl w:val="1272EEF2"/>
    <w:lvl w:ilvl="0" w:tplc="245E70AE">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0F278BC"/>
    <w:multiLevelType w:val="hybridMultilevel"/>
    <w:tmpl w:val="2E54A794"/>
    <w:lvl w:ilvl="0" w:tplc="716A4910">
      <w:start w:val="1"/>
      <w:numFmt w:val="bullet"/>
      <w:lvlText w:val="•"/>
      <w:lvlJc w:val="left"/>
      <w:pPr>
        <w:tabs>
          <w:tab w:val="num" w:pos="720"/>
        </w:tabs>
        <w:ind w:left="720" w:hanging="360"/>
      </w:pPr>
      <w:rPr>
        <w:rFonts w:ascii="Arial" w:hAnsi="Arial" w:hint="default"/>
      </w:rPr>
    </w:lvl>
    <w:lvl w:ilvl="1" w:tplc="46268C40" w:tentative="1">
      <w:start w:val="1"/>
      <w:numFmt w:val="bullet"/>
      <w:lvlText w:val="•"/>
      <w:lvlJc w:val="left"/>
      <w:pPr>
        <w:tabs>
          <w:tab w:val="num" w:pos="1440"/>
        </w:tabs>
        <w:ind w:left="1440" w:hanging="360"/>
      </w:pPr>
      <w:rPr>
        <w:rFonts w:ascii="Arial" w:hAnsi="Arial" w:hint="default"/>
      </w:rPr>
    </w:lvl>
    <w:lvl w:ilvl="2" w:tplc="166A3438" w:tentative="1">
      <w:start w:val="1"/>
      <w:numFmt w:val="bullet"/>
      <w:lvlText w:val="•"/>
      <w:lvlJc w:val="left"/>
      <w:pPr>
        <w:tabs>
          <w:tab w:val="num" w:pos="2160"/>
        </w:tabs>
        <w:ind w:left="2160" w:hanging="360"/>
      </w:pPr>
      <w:rPr>
        <w:rFonts w:ascii="Arial" w:hAnsi="Arial" w:hint="default"/>
      </w:rPr>
    </w:lvl>
    <w:lvl w:ilvl="3" w:tplc="C590CDC6" w:tentative="1">
      <w:start w:val="1"/>
      <w:numFmt w:val="bullet"/>
      <w:lvlText w:val="•"/>
      <w:lvlJc w:val="left"/>
      <w:pPr>
        <w:tabs>
          <w:tab w:val="num" w:pos="2880"/>
        </w:tabs>
        <w:ind w:left="2880" w:hanging="360"/>
      </w:pPr>
      <w:rPr>
        <w:rFonts w:ascii="Arial" w:hAnsi="Arial" w:hint="default"/>
      </w:rPr>
    </w:lvl>
    <w:lvl w:ilvl="4" w:tplc="A25E573E" w:tentative="1">
      <w:start w:val="1"/>
      <w:numFmt w:val="bullet"/>
      <w:lvlText w:val="•"/>
      <w:lvlJc w:val="left"/>
      <w:pPr>
        <w:tabs>
          <w:tab w:val="num" w:pos="3600"/>
        </w:tabs>
        <w:ind w:left="3600" w:hanging="360"/>
      </w:pPr>
      <w:rPr>
        <w:rFonts w:ascii="Arial" w:hAnsi="Arial" w:hint="default"/>
      </w:rPr>
    </w:lvl>
    <w:lvl w:ilvl="5" w:tplc="5AB8C5E2" w:tentative="1">
      <w:start w:val="1"/>
      <w:numFmt w:val="bullet"/>
      <w:lvlText w:val="•"/>
      <w:lvlJc w:val="left"/>
      <w:pPr>
        <w:tabs>
          <w:tab w:val="num" w:pos="4320"/>
        </w:tabs>
        <w:ind w:left="4320" w:hanging="360"/>
      </w:pPr>
      <w:rPr>
        <w:rFonts w:ascii="Arial" w:hAnsi="Arial" w:hint="default"/>
      </w:rPr>
    </w:lvl>
    <w:lvl w:ilvl="6" w:tplc="EB4EBB7A" w:tentative="1">
      <w:start w:val="1"/>
      <w:numFmt w:val="bullet"/>
      <w:lvlText w:val="•"/>
      <w:lvlJc w:val="left"/>
      <w:pPr>
        <w:tabs>
          <w:tab w:val="num" w:pos="5040"/>
        </w:tabs>
        <w:ind w:left="5040" w:hanging="360"/>
      </w:pPr>
      <w:rPr>
        <w:rFonts w:ascii="Arial" w:hAnsi="Arial" w:hint="default"/>
      </w:rPr>
    </w:lvl>
    <w:lvl w:ilvl="7" w:tplc="DEB088E6" w:tentative="1">
      <w:start w:val="1"/>
      <w:numFmt w:val="bullet"/>
      <w:lvlText w:val="•"/>
      <w:lvlJc w:val="left"/>
      <w:pPr>
        <w:tabs>
          <w:tab w:val="num" w:pos="5760"/>
        </w:tabs>
        <w:ind w:left="5760" w:hanging="360"/>
      </w:pPr>
      <w:rPr>
        <w:rFonts w:ascii="Arial" w:hAnsi="Arial" w:hint="default"/>
      </w:rPr>
    </w:lvl>
    <w:lvl w:ilvl="8" w:tplc="5AFCEBD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9E71C33"/>
    <w:multiLevelType w:val="hybridMultilevel"/>
    <w:tmpl w:val="F814C390"/>
    <w:lvl w:ilvl="0" w:tplc="267EFBD6">
      <w:start w:val="1"/>
      <w:numFmt w:val="bullet"/>
      <w:lvlText w:val="•"/>
      <w:lvlJc w:val="left"/>
      <w:pPr>
        <w:tabs>
          <w:tab w:val="num" w:pos="720"/>
        </w:tabs>
        <w:ind w:left="720" w:hanging="360"/>
      </w:pPr>
      <w:rPr>
        <w:rFonts w:ascii="Arial" w:hAnsi="Arial" w:hint="default"/>
      </w:rPr>
    </w:lvl>
    <w:lvl w:ilvl="1" w:tplc="D7DA4B86" w:tentative="1">
      <w:start w:val="1"/>
      <w:numFmt w:val="bullet"/>
      <w:lvlText w:val="•"/>
      <w:lvlJc w:val="left"/>
      <w:pPr>
        <w:tabs>
          <w:tab w:val="num" w:pos="1440"/>
        </w:tabs>
        <w:ind w:left="1440" w:hanging="360"/>
      </w:pPr>
      <w:rPr>
        <w:rFonts w:ascii="Arial" w:hAnsi="Arial" w:hint="default"/>
      </w:rPr>
    </w:lvl>
    <w:lvl w:ilvl="2" w:tplc="BB6A61FC" w:tentative="1">
      <w:start w:val="1"/>
      <w:numFmt w:val="bullet"/>
      <w:lvlText w:val="•"/>
      <w:lvlJc w:val="left"/>
      <w:pPr>
        <w:tabs>
          <w:tab w:val="num" w:pos="2160"/>
        </w:tabs>
        <w:ind w:left="2160" w:hanging="360"/>
      </w:pPr>
      <w:rPr>
        <w:rFonts w:ascii="Arial" w:hAnsi="Arial" w:hint="default"/>
      </w:rPr>
    </w:lvl>
    <w:lvl w:ilvl="3" w:tplc="767028AA" w:tentative="1">
      <w:start w:val="1"/>
      <w:numFmt w:val="bullet"/>
      <w:lvlText w:val="•"/>
      <w:lvlJc w:val="left"/>
      <w:pPr>
        <w:tabs>
          <w:tab w:val="num" w:pos="2880"/>
        </w:tabs>
        <w:ind w:left="2880" w:hanging="360"/>
      </w:pPr>
      <w:rPr>
        <w:rFonts w:ascii="Arial" w:hAnsi="Arial" w:hint="default"/>
      </w:rPr>
    </w:lvl>
    <w:lvl w:ilvl="4" w:tplc="56DEFF9C" w:tentative="1">
      <w:start w:val="1"/>
      <w:numFmt w:val="bullet"/>
      <w:lvlText w:val="•"/>
      <w:lvlJc w:val="left"/>
      <w:pPr>
        <w:tabs>
          <w:tab w:val="num" w:pos="3600"/>
        </w:tabs>
        <w:ind w:left="3600" w:hanging="360"/>
      </w:pPr>
      <w:rPr>
        <w:rFonts w:ascii="Arial" w:hAnsi="Arial" w:hint="default"/>
      </w:rPr>
    </w:lvl>
    <w:lvl w:ilvl="5" w:tplc="B02CFB36" w:tentative="1">
      <w:start w:val="1"/>
      <w:numFmt w:val="bullet"/>
      <w:lvlText w:val="•"/>
      <w:lvlJc w:val="left"/>
      <w:pPr>
        <w:tabs>
          <w:tab w:val="num" w:pos="4320"/>
        </w:tabs>
        <w:ind w:left="4320" w:hanging="360"/>
      </w:pPr>
      <w:rPr>
        <w:rFonts w:ascii="Arial" w:hAnsi="Arial" w:hint="default"/>
      </w:rPr>
    </w:lvl>
    <w:lvl w:ilvl="6" w:tplc="F2040918" w:tentative="1">
      <w:start w:val="1"/>
      <w:numFmt w:val="bullet"/>
      <w:lvlText w:val="•"/>
      <w:lvlJc w:val="left"/>
      <w:pPr>
        <w:tabs>
          <w:tab w:val="num" w:pos="5040"/>
        </w:tabs>
        <w:ind w:left="5040" w:hanging="360"/>
      </w:pPr>
      <w:rPr>
        <w:rFonts w:ascii="Arial" w:hAnsi="Arial" w:hint="default"/>
      </w:rPr>
    </w:lvl>
    <w:lvl w:ilvl="7" w:tplc="4238F158" w:tentative="1">
      <w:start w:val="1"/>
      <w:numFmt w:val="bullet"/>
      <w:lvlText w:val="•"/>
      <w:lvlJc w:val="left"/>
      <w:pPr>
        <w:tabs>
          <w:tab w:val="num" w:pos="5760"/>
        </w:tabs>
        <w:ind w:left="5760" w:hanging="360"/>
      </w:pPr>
      <w:rPr>
        <w:rFonts w:ascii="Arial" w:hAnsi="Arial" w:hint="default"/>
      </w:rPr>
    </w:lvl>
    <w:lvl w:ilvl="8" w:tplc="59A0B4D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0146DC0"/>
    <w:multiLevelType w:val="hybridMultilevel"/>
    <w:tmpl w:val="9BC21240"/>
    <w:lvl w:ilvl="0" w:tplc="6F0EF0F2">
      <w:start w:val="1"/>
      <w:numFmt w:val="bullet"/>
      <w:pStyle w:val="Agreement"/>
      <w:lvlText w:val=""/>
      <w:lvlJc w:val="left"/>
      <w:pPr>
        <w:tabs>
          <w:tab w:val="num" w:pos="1163"/>
        </w:tabs>
        <w:ind w:left="1163" w:hanging="360"/>
      </w:pPr>
      <w:rPr>
        <w:rFonts w:ascii="Symbol" w:hAnsi="Symbol" w:hint="default"/>
        <w:b/>
        <w:i w:val="0"/>
        <w:color w:val="auto"/>
        <w:sz w:val="22"/>
      </w:rPr>
    </w:lvl>
    <w:lvl w:ilvl="1" w:tplc="04090003">
      <w:start w:val="1"/>
      <w:numFmt w:val="bullet"/>
      <w:lvlText w:val="o"/>
      <w:lvlJc w:val="left"/>
      <w:pPr>
        <w:tabs>
          <w:tab w:val="num" w:pos="984"/>
        </w:tabs>
        <w:ind w:left="984" w:hanging="360"/>
      </w:pPr>
      <w:rPr>
        <w:rFonts w:ascii="Courier New" w:hAnsi="Courier New" w:cs="Courier New" w:hint="default"/>
      </w:rPr>
    </w:lvl>
    <w:lvl w:ilvl="2" w:tplc="04090005">
      <w:start w:val="1"/>
      <w:numFmt w:val="bullet"/>
      <w:lvlText w:val=""/>
      <w:lvlJc w:val="left"/>
      <w:pPr>
        <w:tabs>
          <w:tab w:val="num" w:pos="1704"/>
        </w:tabs>
        <w:ind w:left="1704" w:hanging="360"/>
      </w:pPr>
      <w:rPr>
        <w:rFonts w:ascii="Wingdings" w:hAnsi="Wingdings" w:hint="default"/>
      </w:rPr>
    </w:lvl>
    <w:lvl w:ilvl="3" w:tplc="04090001" w:tentative="1">
      <w:start w:val="1"/>
      <w:numFmt w:val="bullet"/>
      <w:lvlText w:val=""/>
      <w:lvlJc w:val="left"/>
      <w:pPr>
        <w:tabs>
          <w:tab w:val="num" w:pos="2424"/>
        </w:tabs>
        <w:ind w:left="2424" w:hanging="360"/>
      </w:pPr>
      <w:rPr>
        <w:rFonts w:ascii="Symbol" w:hAnsi="Symbol" w:hint="default"/>
      </w:rPr>
    </w:lvl>
    <w:lvl w:ilvl="4" w:tplc="04090003" w:tentative="1">
      <w:start w:val="1"/>
      <w:numFmt w:val="bullet"/>
      <w:lvlText w:val="o"/>
      <w:lvlJc w:val="left"/>
      <w:pPr>
        <w:tabs>
          <w:tab w:val="num" w:pos="3144"/>
        </w:tabs>
        <w:ind w:left="3144" w:hanging="360"/>
      </w:pPr>
      <w:rPr>
        <w:rFonts w:ascii="Courier New" w:hAnsi="Courier New" w:cs="Courier New" w:hint="default"/>
      </w:rPr>
    </w:lvl>
    <w:lvl w:ilvl="5" w:tplc="04090005" w:tentative="1">
      <w:start w:val="1"/>
      <w:numFmt w:val="bullet"/>
      <w:lvlText w:val=""/>
      <w:lvlJc w:val="left"/>
      <w:pPr>
        <w:tabs>
          <w:tab w:val="num" w:pos="3864"/>
        </w:tabs>
        <w:ind w:left="3864" w:hanging="360"/>
      </w:pPr>
      <w:rPr>
        <w:rFonts w:ascii="Wingdings" w:hAnsi="Wingdings" w:hint="default"/>
      </w:rPr>
    </w:lvl>
    <w:lvl w:ilvl="6" w:tplc="04090001" w:tentative="1">
      <w:start w:val="1"/>
      <w:numFmt w:val="bullet"/>
      <w:lvlText w:val=""/>
      <w:lvlJc w:val="left"/>
      <w:pPr>
        <w:tabs>
          <w:tab w:val="num" w:pos="4584"/>
        </w:tabs>
        <w:ind w:left="4584" w:hanging="360"/>
      </w:pPr>
      <w:rPr>
        <w:rFonts w:ascii="Symbol" w:hAnsi="Symbol" w:hint="default"/>
      </w:rPr>
    </w:lvl>
    <w:lvl w:ilvl="7" w:tplc="04090003" w:tentative="1">
      <w:start w:val="1"/>
      <w:numFmt w:val="bullet"/>
      <w:lvlText w:val="o"/>
      <w:lvlJc w:val="left"/>
      <w:pPr>
        <w:tabs>
          <w:tab w:val="num" w:pos="5304"/>
        </w:tabs>
        <w:ind w:left="5304" w:hanging="360"/>
      </w:pPr>
      <w:rPr>
        <w:rFonts w:ascii="Courier New" w:hAnsi="Courier New" w:cs="Courier New" w:hint="default"/>
      </w:rPr>
    </w:lvl>
    <w:lvl w:ilvl="8" w:tplc="04090005" w:tentative="1">
      <w:start w:val="1"/>
      <w:numFmt w:val="bullet"/>
      <w:lvlText w:val=""/>
      <w:lvlJc w:val="left"/>
      <w:pPr>
        <w:tabs>
          <w:tab w:val="num" w:pos="6024"/>
        </w:tabs>
        <w:ind w:left="6024" w:hanging="360"/>
      </w:pPr>
      <w:rPr>
        <w:rFonts w:ascii="Wingdings" w:hAnsi="Wingdings" w:hint="default"/>
      </w:rPr>
    </w:lvl>
  </w:abstractNum>
  <w:abstractNum w:abstractNumId="24"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A9FCEC"/>
    <w:multiLevelType w:val="hybridMultilevel"/>
    <w:tmpl w:val="6A9D4E72"/>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75E77517"/>
    <w:multiLevelType w:val="hybridMultilevel"/>
    <w:tmpl w:val="9CA4B2EE"/>
    <w:lvl w:ilvl="0" w:tplc="D744D4F6">
      <w:start w:val="1"/>
      <w:numFmt w:val="bullet"/>
      <w:lvlText w:val="•"/>
      <w:lvlJc w:val="left"/>
      <w:pPr>
        <w:tabs>
          <w:tab w:val="num" w:pos="720"/>
        </w:tabs>
        <w:ind w:left="720" w:hanging="360"/>
      </w:pPr>
      <w:rPr>
        <w:rFonts w:ascii="Arial" w:hAnsi="Arial" w:hint="default"/>
      </w:rPr>
    </w:lvl>
    <w:lvl w:ilvl="1" w:tplc="8E00285A" w:tentative="1">
      <w:start w:val="1"/>
      <w:numFmt w:val="bullet"/>
      <w:lvlText w:val="•"/>
      <w:lvlJc w:val="left"/>
      <w:pPr>
        <w:tabs>
          <w:tab w:val="num" w:pos="1440"/>
        </w:tabs>
        <w:ind w:left="1440" w:hanging="360"/>
      </w:pPr>
      <w:rPr>
        <w:rFonts w:ascii="Arial" w:hAnsi="Arial" w:hint="default"/>
      </w:rPr>
    </w:lvl>
    <w:lvl w:ilvl="2" w:tplc="867CD7B2" w:tentative="1">
      <w:start w:val="1"/>
      <w:numFmt w:val="bullet"/>
      <w:lvlText w:val="•"/>
      <w:lvlJc w:val="left"/>
      <w:pPr>
        <w:tabs>
          <w:tab w:val="num" w:pos="2160"/>
        </w:tabs>
        <w:ind w:left="2160" w:hanging="360"/>
      </w:pPr>
      <w:rPr>
        <w:rFonts w:ascii="Arial" w:hAnsi="Arial" w:hint="default"/>
      </w:rPr>
    </w:lvl>
    <w:lvl w:ilvl="3" w:tplc="4DCE2FD8" w:tentative="1">
      <w:start w:val="1"/>
      <w:numFmt w:val="bullet"/>
      <w:lvlText w:val="•"/>
      <w:lvlJc w:val="left"/>
      <w:pPr>
        <w:tabs>
          <w:tab w:val="num" w:pos="2880"/>
        </w:tabs>
        <w:ind w:left="2880" w:hanging="360"/>
      </w:pPr>
      <w:rPr>
        <w:rFonts w:ascii="Arial" w:hAnsi="Arial" w:hint="default"/>
      </w:rPr>
    </w:lvl>
    <w:lvl w:ilvl="4" w:tplc="E346ACF2" w:tentative="1">
      <w:start w:val="1"/>
      <w:numFmt w:val="bullet"/>
      <w:lvlText w:val="•"/>
      <w:lvlJc w:val="left"/>
      <w:pPr>
        <w:tabs>
          <w:tab w:val="num" w:pos="3600"/>
        </w:tabs>
        <w:ind w:left="3600" w:hanging="360"/>
      </w:pPr>
      <w:rPr>
        <w:rFonts w:ascii="Arial" w:hAnsi="Arial" w:hint="default"/>
      </w:rPr>
    </w:lvl>
    <w:lvl w:ilvl="5" w:tplc="68ECA7A8" w:tentative="1">
      <w:start w:val="1"/>
      <w:numFmt w:val="bullet"/>
      <w:lvlText w:val="•"/>
      <w:lvlJc w:val="left"/>
      <w:pPr>
        <w:tabs>
          <w:tab w:val="num" w:pos="4320"/>
        </w:tabs>
        <w:ind w:left="4320" w:hanging="360"/>
      </w:pPr>
      <w:rPr>
        <w:rFonts w:ascii="Arial" w:hAnsi="Arial" w:hint="default"/>
      </w:rPr>
    </w:lvl>
    <w:lvl w:ilvl="6" w:tplc="7EC02EC8" w:tentative="1">
      <w:start w:val="1"/>
      <w:numFmt w:val="bullet"/>
      <w:lvlText w:val="•"/>
      <w:lvlJc w:val="left"/>
      <w:pPr>
        <w:tabs>
          <w:tab w:val="num" w:pos="5040"/>
        </w:tabs>
        <w:ind w:left="5040" w:hanging="360"/>
      </w:pPr>
      <w:rPr>
        <w:rFonts w:ascii="Arial" w:hAnsi="Arial" w:hint="default"/>
      </w:rPr>
    </w:lvl>
    <w:lvl w:ilvl="7" w:tplc="F3524236" w:tentative="1">
      <w:start w:val="1"/>
      <w:numFmt w:val="bullet"/>
      <w:lvlText w:val="•"/>
      <w:lvlJc w:val="left"/>
      <w:pPr>
        <w:tabs>
          <w:tab w:val="num" w:pos="5760"/>
        </w:tabs>
        <w:ind w:left="5760" w:hanging="360"/>
      </w:pPr>
      <w:rPr>
        <w:rFonts w:ascii="Arial" w:hAnsi="Arial" w:hint="default"/>
      </w:rPr>
    </w:lvl>
    <w:lvl w:ilvl="8" w:tplc="7478C0C2"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9"/>
  </w:num>
  <w:num w:numId="6">
    <w:abstractNumId w:val="16"/>
  </w:num>
  <w:num w:numId="7">
    <w:abstractNumId w:val="11"/>
  </w:num>
  <w:num w:numId="8">
    <w:abstractNumId w:val="5"/>
  </w:num>
  <w:num w:numId="9">
    <w:abstractNumId w:val="25"/>
  </w:num>
  <w:num w:numId="10">
    <w:abstractNumId w:val="4"/>
  </w:num>
  <w:num w:numId="11">
    <w:abstractNumId w:val="7"/>
  </w:num>
  <w:num w:numId="12">
    <w:abstractNumId w:val="13"/>
  </w:num>
  <w:num w:numId="13">
    <w:abstractNumId w:val="17"/>
  </w:num>
  <w:num w:numId="14">
    <w:abstractNumId w:val="22"/>
  </w:num>
  <w:num w:numId="15">
    <w:abstractNumId w:val="26"/>
  </w:num>
  <w:num w:numId="16">
    <w:abstractNumId w:val="20"/>
  </w:num>
  <w:num w:numId="17">
    <w:abstractNumId w:val="18"/>
  </w:num>
  <w:num w:numId="18">
    <w:abstractNumId w:val="1"/>
  </w:num>
  <w:num w:numId="19">
    <w:abstractNumId w:val="19"/>
  </w:num>
  <w:num w:numId="20">
    <w:abstractNumId w:val="15"/>
  </w:num>
  <w:num w:numId="21">
    <w:abstractNumId w:val="12"/>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3"/>
  </w:num>
  <w:num w:numId="25">
    <w:abstractNumId w:val="23"/>
  </w:num>
  <w:num w:numId="26">
    <w:abstractNumId w:val="14"/>
  </w:num>
  <w:num w:numId="27">
    <w:abstractNumId w:val="6"/>
  </w:num>
  <w:num w:numId="28">
    <w:abstractNumId w:val="21"/>
  </w:num>
  <w:num w:numId="29">
    <w:abstractNumId w:val="8"/>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300"/>
    <w:rsid w:val="00004832"/>
    <w:rsid w:val="00022D06"/>
    <w:rsid w:val="0002498E"/>
    <w:rsid w:val="00031D35"/>
    <w:rsid w:val="0003254C"/>
    <w:rsid w:val="00033397"/>
    <w:rsid w:val="00034338"/>
    <w:rsid w:val="00037852"/>
    <w:rsid w:val="00040095"/>
    <w:rsid w:val="00046630"/>
    <w:rsid w:val="00061637"/>
    <w:rsid w:val="00062792"/>
    <w:rsid w:val="0006694E"/>
    <w:rsid w:val="0007180E"/>
    <w:rsid w:val="0007556B"/>
    <w:rsid w:val="00080512"/>
    <w:rsid w:val="00090468"/>
    <w:rsid w:val="000A055D"/>
    <w:rsid w:val="000A184C"/>
    <w:rsid w:val="000A4F3F"/>
    <w:rsid w:val="000B491E"/>
    <w:rsid w:val="000B5AE8"/>
    <w:rsid w:val="000B7BCF"/>
    <w:rsid w:val="000C286B"/>
    <w:rsid w:val="000C522B"/>
    <w:rsid w:val="000D382C"/>
    <w:rsid w:val="000D5392"/>
    <w:rsid w:val="000D58AB"/>
    <w:rsid w:val="000D6F09"/>
    <w:rsid w:val="000E5C2B"/>
    <w:rsid w:val="000E7994"/>
    <w:rsid w:val="000F578F"/>
    <w:rsid w:val="00100D05"/>
    <w:rsid w:val="00105C35"/>
    <w:rsid w:val="001072DE"/>
    <w:rsid w:val="00110469"/>
    <w:rsid w:val="00112F1A"/>
    <w:rsid w:val="00114B89"/>
    <w:rsid w:val="00123E61"/>
    <w:rsid w:val="00132FC0"/>
    <w:rsid w:val="00142DB7"/>
    <w:rsid w:val="00145075"/>
    <w:rsid w:val="0015011C"/>
    <w:rsid w:val="00153EFD"/>
    <w:rsid w:val="0016620C"/>
    <w:rsid w:val="00170BB3"/>
    <w:rsid w:val="001710A6"/>
    <w:rsid w:val="00172749"/>
    <w:rsid w:val="001741A0"/>
    <w:rsid w:val="00175FA0"/>
    <w:rsid w:val="001774CD"/>
    <w:rsid w:val="00180B20"/>
    <w:rsid w:val="0018171B"/>
    <w:rsid w:val="00184A94"/>
    <w:rsid w:val="00194CD0"/>
    <w:rsid w:val="001A502E"/>
    <w:rsid w:val="001B4442"/>
    <w:rsid w:val="001B49C9"/>
    <w:rsid w:val="001B7BC3"/>
    <w:rsid w:val="001C0913"/>
    <w:rsid w:val="001C30B5"/>
    <w:rsid w:val="001C464F"/>
    <w:rsid w:val="001C4F79"/>
    <w:rsid w:val="001D54AD"/>
    <w:rsid w:val="001D65A6"/>
    <w:rsid w:val="001E38AF"/>
    <w:rsid w:val="001E531D"/>
    <w:rsid w:val="001F168B"/>
    <w:rsid w:val="001F7831"/>
    <w:rsid w:val="00204045"/>
    <w:rsid w:val="0020712B"/>
    <w:rsid w:val="002107D5"/>
    <w:rsid w:val="002148BF"/>
    <w:rsid w:val="00217EA2"/>
    <w:rsid w:val="00222823"/>
    <w:rsid w:val="0022606D"/>
    <w:rsid w:val="00231728"/>
    <w:rsid w:val="0024643D"/>
    <w:rsid w:val="00250CE3"/>
    <w:rsid w:val="002641AA"/>
    <w:rsid w:val="002647F7"/>
    <w:rsid w:val="002658C9"/>
    <w:rsid w:val="00265B33"/>
    <w:rsid w:val="002703B1"/>
    <w:rsid w:val="00270A00"/>
    <w:rsid w:val="00272FEE"/>
    <w:rsid w:val="002747EC"/>
    <w:rsid w:val="002760F7"/>
    <w:rsid w:val="002813B7"/>
    <w:rsid w:val="002855BF"/>
    <w:rsid w:val="00287BA8"/>
    <w:rsid w:val="00293039"/>
    <w:rsid w:val="00297615"/>
    <w:rsid w:val="002A3290"/>
    <w:rsid w:val="002B4225"/>
    <w:rsid w:val="002B5FB8"/>
    <w:rsid w:val="002B629B"/>
    <w:rsid w:val="002B6E03"/>
    <w:rsid w:val="002C1BC8"/>
    <w:rsid w:val="002C21C4"/>
    <w:rsid w:val="002D412F"/>
    <w:rsid w:val="002D49AB"/>
    <w:rsid w:val="002D6D91"/>
    <w:rsid w:val="002F0D22"/>
    <w:rsid w:val="00300220"/>
    <w:rsid w:val="00303614"/>
    <w:rsid w:val="00305394"/>
    <w:rsid w:val="00311E9F"/>
    <w:rsid w:val="003172DC"/>
    <w:rsid w:val="003218AD"/>
    <w:rsid w:val="00325AE3"/>
    <w:rsid w:val="00326069"/>
    <w:rsid w:val="00335D29"/>
    <w:rsid w:val="00337918"/>
    <w:rsid w:val="003400EB"/>
    <w:rsid w:val="00340DB7"/>
    <w:rsid w:val="00341891"/>
    <w:rsid w:val="00343CCE"/>
    <w:rsid w:val="003514AB"/>
    <w:rsid w:val="00351C25"/>
    <w:rsid w:val="00354335"/>
    <w:rsid w:val="0035462D"/>
    <w:rsid w:val="00364B41"/>
    <w:rsid w:val="00365C05"/>
    <w:rsid w:val="00366421"/>
    <w:rsid w:val="003710D8"/>
    <w:rsid w:val="0037134A"/>
    <w:rsid w:val="003742B9"/>
    <w:rsid w:val="00381034"/>
    <w:rsid w:val="00381F29"/>
    <w:rsid w:val="00390796"/>
    <w:rsid w:val="00390F3C"/>
    <w:rsid w:val="003945CF"/>
    <w:rsid w:val="00394A2E"/>
    <w:rsid w:val="00397781"/>
    <w:rsid w:val="003A3B07"/>
    <w:rsid w:val="003A4AC0"/>
    <w:rsid w:val="003B40AD"/>
    <w:rsid w:val="003C021B"/>
    <w:rsid w:val="003C4E37"/>
    <w:rsid w:val="003C5A2E"/>
    <w:rsid w:val="003C7363"/>
    <w:rsid w:val="003D0079"/>
    <w:rsid w:val="003D0AE2"/>
    <w:rsid w:val="003D64C1"/>
    <w:rsid w:val="003E16BE"/>
    <w:rsid w:val="003F320D"/>
    <w:rsid w:val="003F4E28"/>
    <w:rsid w:val="004006E8"/>
    <w:rsid w:val="00401855"/>
    <w:rsid w:val="00407F0A"/>
    <w:rsid w:val="00412738"/>
    <w:rsid w:val="004130D4"/>
    <w:rsid w:val="00417DEC"/>
    <w:rsid w:val="00421579"/>
    <w:rsid w:val="004219EA"/>
    <w:rsid w:val="00426E78"/>
    <w:rsid w:val="0044151E"/>
    <w:rsid w:val="00445384"/>
    <w:rsid w:val="00446D18"/>
    <w:rsid w:val="00453A40"/>
    <w:rsid w:val="004618DD"/>
    <w:rsid w:val="00470154"/>
    <w:rsid w:val="00471988"/>
    <w:rsid w:val="00476D6E"/>
    <w:rsid w:val="00477243"/>
    <w:rsid w:val="00477455"/>
    <w:rsid w:val="004A05AB"/>
    <w:rsid w:val="004A06E0"/>
    <w:rsid w:val="004A1B08"/>
    <w:rsid w:val="004A1F7B"/>
    <w:rsid w:val="004A5775"/>
    <w:rsid w:val="004A6975"/>
    <w:rsid w:val="004B6998"/>
    <w:rsid w:val="004C44D2"/>
    <w:rsid w:val="004D0D08"/>
    <w:rsid w:val="004D2ED6"/>
    <w:rsid w:val="004D3578"/>
    <w:rsid w:val="004D380D"/>
    <w:rsid w:val="004D5953"/>
    <w:rsid w:val="004D7906"/>
    <w:rsid w:val="004E213A"/>
    <w:rsid w:val="004E611C"/>
    <w:rsid w:val="004E7A27"/>
    <w:rsid w:val="005025F9"/>
    <w:rsid w:val="00503171"/>
    <w:rsid w:val="00503B8C"/>
    <w:rsid w:val="00504DF9"/>
    <w:rsid w:val="00506C28"/>
    <w:rsid w:val="00510808"/>
    <w:rsid w:val="005201C0"/>
    <w:rsid w:val="00521CDC"/>
    <w:rsid w:val="00523A52"/>
    <w:rsid w:val="00524770"/>
    <w:rsid w:val="00527134"/>
    <w:rsid w:val="00534DA0"/>
    <w:rsid w:val="00536C76"/>
    <w:rsid w:val="00541B3C"/>
    <w:rsid w:val="00541F69"/>
    <w:rsid w:val="00543E6C"/>
    <w:rsid w:val="005540D6"/>
    <w:rsid w:val="005549EF"/>
    <w:rsid w:val="005554A5"/>
    <w:rsid w:val="00565087"/>
    <w:rsid w:val="0056573F"/>
    <w:rsid w:val="0057286B"/>
    <w:rsid w:val="0057371A"/>
    <w:rsid w:val="00573F12"/>
    <w:rsid w:val="00575FDF"/>
    <w:rsid w:val="005813B7"/>
    <w:rsid w:val="0058266C"/>
    <w:rsid w:val="005829DF"/>
    <w:rsid w:val="00585689"/>
    <w:rsid w:val="00591DDC"/>
    <w:rsid w:val="00594C9F"/>
    <w:rsid w:val="005B2C60"/>
    <w:rsid w:val="005B4B30"/>
    <w:rsid w:val="005C042E"/>
    <w:rsid w:val="005C7C71"/>
    <w:rsid w:val="005D1553"/>
    <w:rsid w:val="005D1CB0"/>
    <w:rsid w:val="005D1EA7"/>
    <w:rsid w:val="005D6474"/>
    <w:rsid w:val="005E5DFC"/>
    <w:rsid w:val="005F5BDB"/>
    <w:rsid w:val="005F73EE"/>
    <w:rsid w:val="0060544E"/>
    <w:rsid w:val="00610313"/>
    <w:rsid w:val="00611566"/>
    <w:rsid w:val="006144DA"/>
    <w:rsid w:val="0062540B"/>
    <w:rsid w:val="00632A2B"/>
    <w:rsid w:val="00632BA2"/>
    <w:rsid w:val="00632F93"/>
    <w:rsid w:val="006368B1"/>
    <w:rsid w:val="00642BB2"/>
    <w:rsid w:val="0064499D"/>
    <w:rsid w:val="00646D99"/>
    <w:rsid w:val="006534B5"/>
    <w:rsid w:val="00656910"/>
    <w:rsid w:val="00661E0F"/>
    <w:rsid w:val="0067011C"/>
    <w:rsid w:val="00681874"/>
    <w:rsid w:val="00683035"/>
    <w:rsid w:val="006842D7"/>
    <w:rsid w:val="00690D05"/>
    <w:rsid w:val="006960AA"/>
    <w:rsid w:val="006A6338"/>
    <w:rsid w:val="006A6390"/>
    <w:rsid w:val="006B1BDA"/>
    <w:rsid w:val="006B31AF"/>
    <w:rsid w:val="006B3445"/>
    <w:rsid w:val="006B37CF"/>
    <w:rsid w:val="006B4D28"/>
    <w:rsid w:val="006B620F"/>
    <w:rsid w:val="006B6819"/>
    <w:rsid w:val="006B6FA6"/>
    <w:rsid w:val="006C08B5"/>
    <w:rsid w:val="006C5344"/>
    <w:rsid w:val="006C6535"/>
    <w:rsid w:val="006C66D8"/>
    <w:rsid w:val="006D1E24"/>
    <w:rsid w:val="006D7114"/>
    <w:rsid w:val="006E1417"/>
    <w:rsid w:val="006E17D8"/>
    <w:rsid w:val="006F3EBC"/>
    <w:rsid w:val="006F6A2C"/>
    <w:rsid w:val="00700AAD"/>
    <w:rsid w:val="007028CA"/>
    <w:rsid w:val="00707423"/>
    <w:rsid w:val="00710201"/>
    <w:rsid w:val="0071240C"/>
    <w:rsid w:val="00712463"/>
    <w:rsid w:val="0071473D"/>
    <w:rsid w:val="007165DE"/>
    <w:rsid w:val="0071690F"/>
    <w:rsid w:val="0072058C"/>
    <w:rsid w:val="00720902"/>
    <w:rsid w:val="00726779"/>
    <w:rsid w:val="00727DC9"/>
    <w:rsid w:val="007323FF"/>
    <w:rsid w:val="007342B5"/>
    <w:rsid w:val="00734A5B"/>
    <w:rsid w:val="00734AF7"/>
    <w:rsid w:val="00736E0C"/>
    <w:rsid w:val="00744C63"/>
    <w:rsid w:val="00744E76"/>
    <w:rsid w:val="007471A7"/>
    <w:rsid w:val="00757D40"/>
    <w:rsid w:val="00760E1E"/>
    <w:rsid w:val="0076121E"/>
    <w:rsid w:val="0076432C"/>
    <w:rsid w:val="0076612E"/>
    <w:rsid w:val="00780AF4"/>
    <w:rsid w:val="00781F0F"/>
    <w:rsid w:val="00783721"/>
    <w:rsid w:val="00784164"/>
    <w:rsid w:val="00784755"/>
    <w:rsid w:val="007863E9"/>
    <w:rsid w:val="0078727C"/>
    <w:rsid w:val="0079049D"/>
    <w:rsid w:val="00791DE8"/>
    <w:rsid w:val="00791EF7"/>
    <w:rsid w:val="007938B9"/>
    <w:rsid w:val="00793DC5"/>
    <w:rsid w:val="007A274A"/>
    <w:rsid w:val="007A3162"/>
    <w:rsid w:val="007A322E"/>
    <w:rsid w:val="007A63E3"/>
    <w:rsid w:val="007B1121"/>
    <w:rsid w:val="007B18D8"/>
    <w:rsid w:val="007B29C3"/>
    <w:rsid w:val="007B4A4D"/>
    <w:rsid w:val="007B6CFC"/>
    <w:rsid w:val="007C095F"/>
    <w:rsid w:val="007C289C"/>
    <w:rsid w:val="007D2BE1"/>
    <w:rsid w:val="007D36F1"/>
    <w:rsid w:val="007D421D"/>
    <w:rsid w:val="007E44F4"/>
    <w:rsid w:val="007E50FE"/>
    <w:rsid w:val="007F1AE7"/>
    <w:rsid w:val="0080195C"/>
    <w:rsid w:val="00801FB7"/>
    <w:rsid w:val="008028A4"/>
    <w:rsid w:val="00805B74"/>
    <w:rsid w:val="00813245"/>
    <w:rsid w:val="0082053B"/>
    <w:rsid w:val="0082592B"/>
    <w:rsid w:val="00827599"/>
    <w:rsid w:val="00827A2A"/>
    <w:rsid w:val="008325FA"/>
    <w:rsid w:val="008334F1"/>
    <w:rsid w:val="00833EBC"/>
    <w:rsid w:val="00846EA0"/>
    <w:rsid w:val="00851331"/>
    <w:rsid w:val="00853B1E"/>
    <w:rsid w:val="008560F3"/>
    <w:rsid w:val="00866F67"/>
    <w:rsid w:val="00867DEA"/>
    <w:rsid w:val="00871C38"/>
    <w:rsid w:val="008734D6"/>
    <w:rsid w:val="008760D0"/>
    <w:rsid w:val="008768CA"/>
    <w:rsid w:val="00877EF9"/>
    <w:rsid w:val="00880559"/>
    <w:rsid w:val="0088240B"/>
    <w:rsid w:val="00883DF0"/>
    <w:rsid w:val="00886856"/>
    <w:rsid w:val="0089249B"/>
    <w:rsid w:val="008A6A41"/>
    <w:rsid w:val="008B043F"/>
    <w:rsid w:val="008B23AB"/>
    <w:rsid w:val="008B5306"/>
    <w:rsid w:val="008B69E2"/>
    <w:rsid w:val="008C203E"/>
    <w:rsid w:val="008C492C"/>
    <w:rsid w:val="008C49FD"/>
    <w:rsid w:val="008D2E4D"/>
    <w:rsid w:val="008F2A37"/>
    <w:rsid w:val="008F2BC7"/>
    <w:rsid w:val="008F6EBE"/>
    <w:rsid w:val="0090271F"/>
    <w:rsid w:val="00902DB9"/>
    <w:rsid w:val="0090466A"/>
    <w:rsid w:val="009249C9"/>
    <w:rsid w:val="00935532"/>
    <w:rsid w:val="00936071"/>
    <w:rsid w:val="00937975"/>
    <w:rsid w:val="0094005E"/>
    <w:rsid w:val="009400A5"/>
    <w:rsid w:val="00940212"/>
    <w:rsid w:val="00942EC2"/>
    <w:rsid w:val="00943B20"/>
    <w:rsid w:val="00951DFF"/>
    <w:rsid w:val="00955EFB"/>
    <w:rsid w:val="009610AB"/>
    <w:rsid w:val="00961B32"/>
    <w:rsid w:val="00970DA9"/>
    <w:rsid w:val="00970DB3"/>
    <w:rsid w:val="00974BB0"/>
    <w:rsid w:val="00982E18"/>
    <w:rsid w:val="009A0AF3"/>
    <w:rsid w:val="009A0EA6"/>
    <w:rsid w:val="009B07CD"/>
    <w:rsid w:val="009B14D2"/>
    <w:rsid w:val="009B28D2"/>
    <w:rsid w:val="009B4B54"/>
    <w:rsid w:val="009B54AB"/>
    <w:rsid w:val="009C19E9"/>
    <w:rsid w:val="009C57B9"/>
    <w:rsid w:val="009D74A6"/>
    <w:rsid w:val="009E0592"/>
    <w:rsid w:val="009F5316"/>
    <w:rsid w:val="00A05CA5"/>
    <w:rsid w:val="00A07513"/>
    <w:rsid w:val="00A10F02"/>
    <w:rsid w:val="00A204CA"/>
    <w:rsid w:val="00A2382E"/>
    <w:rsid w:val="00A24717"/>
    <w:rsid w:val="00A30B85"/>
    <w:rsid w:val="00A317CA"/>
    <w:rsid w:val="00A31C6F"/>
    <w:rsid w:val="00A419A0"/>
    <w:rsid w:val="00A447F7"/>
    <w:rsid w:val="00A44AF6"/>
    <w:rsid w:val="00A53724"/>
    <w:rsid w:val="00A5419B"/>
    <w:rsid w:val="00A566B0"/>
    <w:rsid w:val="00A61052"/>
    <w:rsid w:val="00A6224C"/>
    <w:rsid w:val="00A67AAD"/>
    <w:rsid w:val="00A739CC"/>
    <w:rsid w:val="00A73EE7"/>
    <w:rsid w:val="00A80B3D"/>
    <w:rsid w:val="00A82346"/>
    <w:rsid w:val="00A87630"/>
    <w:rsid w:val="00A9645F"/>
    <w:rsid w:val="00A9671C"/>
    <w:rsid w:val="00AA1553"/>
    <w:rsid w:val="00AB3559"/>
    <w:rsid w:val="00AB3D9F"/>
    <w:rsid w:val="00AB4388"/>
    <w:rsid w:val="00AB4CCA"/>
    <w:rsid w:val="00AC03C8"/>
    <w:rsid w:val="00AC2FE2"/>
    <w:rsid w:val="00AC5A3C"/>
    <w:rsid w:val="00AC7C75"/>
    <w:rsid w:val="00AD0605"/>
    <w:rsid w:val="00AD1E00"/>
    <w:rsid w:val="00AD2C16"/>
    <w:rsid w:val="00AE1D64"/>
    <w:rsid w:val="00AE20F7"/>
    <w:rsid w:val="00AE2608"/>
    <w:rsid w:val="00B05962"/>
    <w:rsid w:val="00B069F0"/>
    <w:rsid w:val="00B15449"/>
    <w:rsid w:val="00B20BAA"/>
    <w:rsid w:val="00B20FC3"/>
    <w:rsid w:val="00B22FB7"/>
    <w:rsid w:val="00B23988"/>
    <w:rsid w:val="00B27303"/>
    <w:rsid w:val="00B3025E"/>
    <w:rsid w:val="00B34198"/>
    <w:rsid w:val="00B43D67"/>
    <w:rsid w:val="00B47FD1"/>
    <w:rsid w:val="00B516BB"/>
    <w:rsid w:val="00B60A6F"/>
    <w:rsid w:val="00B60E68"/>
    <w:rsid w:val="00B72399"/>
    <w:rsid w:val="00B74104"/>
    <w:rsid w:val="00B74385"/>
    <w:rsid w:val="00B77D08"/>
    <w:rsid w:val="00B84B6B"/>
    <w:rsid w:val="00B87657"/>
    <w:rsid w:val="00B915D5"/>
    <w:rsid w:val="00B92E01"/>
    <w:rsid w:val="00BA1C3C"/>
    <w:rsid w:val="00BB51C3"/>
    <w:rsid w:val="00BC3555"/>
    <w:rsid w:val="00BE63C2"/>
    <w:rsid w:val="00BF06BC"/>
    <w:rsid w:val="00BF1773"/>
    <w:rsid w:val="00C12B51"/>
    <w:rsid w:val="00C15EF5"/>
    <w:rsid w:val="00C23329"/>
    <w:rsid w:val="00C24650"/>
    <w:rsid w:val="00C2575B"/>
    <w:rsid w:val="00C33079"/>
    <w:rsid w:val="00C372E2"/>
    <w:rsid w:val="00C40DA4"/>
    <w:rsid w:val="00C44E4D"/>
    <w:rsid w:val="00C51375"/>
    <w:rsid w:val="00C522CC"/>
    <w:rsid w:val="00C54D3B"/>
    <w:rsid w:val="00C55296"/>
    <w:rsid w:val="00C56CF1"/>
    <w:rsid w:val="00C56E38"/>
    <w:rsid w:val="00C56E6A"/>
    <w:rsid w:val="00C718F2"/>
    <w:rsid w:val="00C8117D"/>
    <w:rsid w:val="00C83A13"/>
    <w:rsid w:val="00C845B7"/>
    <w:rsid w:val="00C9068C"/>
    <w:rsid w:val="00C92967"/>
    <w:rsid w:val="00C9303A"/>
    <w:rsid w:val="00C94117"/>
    <w:rsid w:val="00C9442C"/>
    <w:rsid w:val="00C972CB"/>
    <w:rsid w:val="00CA07ED"/>
    <w:rsid w:val="00CA3580"/>
    <w:rsid w:val="00CA3D0C"/>
    <w:rsid w:val="00CA654B"/>
    <w:rsid w:val="00CA7074"/>
    <w:rsid w:val="00CB2618"/>
    <w:rsid w:val="00CB3B5D"/>
    <w:rsid w:val="00CB5130"/>
    <w:rsid w:val="00CC2377"/>
    <w:rsid w:val="00CC2CE0"/>
    <w:rsid w:val="00CC4E78"/>
    <w:rsid w:val="00CD13BD"/>
    <w:rsid w:val="00CD2127"/>
    <w:rsid w:val="00CD4C7B"/>
    <w:rsid w:val="00CD5872"/>
    <w:rsid w:val="00CD7A2F"/>
    <w:rsid w:val="00CE3751"/>
    <w:rsid w:val="00CE43E0"/>
    <w:rsid w:val="00CE77F3"/>
    <w:rsid w:val="00CF60CB"/>
    <w:rsid w:val="00D0752E"/>
    <w:rsid w:val="00D253DF"/>
    <w:rsid w:val="00D270D5"/>
    <w:rsid w:val="00D30489"/>
    <w:rsid w:val="00D32D6E"/>
    <w:rsid w:val="00D33BE3"/>
    <w:rsid w:val="00D3792D"/>
    <w:rsid w:val="00D42EE3"/>
    <w:rsid w:val="00D46687"/>
    <w:rsid w:val="00D51500"/>
    <w:rsid w:val="00D52B59"/>
    <w:rsid w:val="00D552CA"/>
    <w:rsid w:val="00D553D2"/>
    <w:rsid w:val="00D55E47"/>
    <w:rsid w:val="00D62E19"/>
    <w:rsid w:val="00D67CD1"/>
    <w:rsid w:val="00D738D6"/>
    <w:rsid w:val="00D74A85"/>
    <w:rsid w:val="00D7603F"/>
    <w:rsid w:val="00D80795"/>
    <w:rsid w:val="00D83068"/>
    <w:rsid w:val="00D854BE"/>
    <w:rsid w:val="00D87E00"/>
    <w:rsid w:val="00D9134D"/>
    <w:rsid w:val="00D91B55"/>
    <w:rsid w:val="00D93D72"/>
    <w:rsid w:val="00D96D11"/>
    <w:rsid w:val="00DA408C"/>
    <w:rsid w:val="00DA7A03"/>
    <w:rsid w:val="00DB0DB8"/>
    <w:rsid w:val="00DB1818"/>
    <w:rsid w:val="00DB3521"/>
    <w:rsid w:val="00DB382D"/>
    <w:rsid w:val="00DC309B"/>
    <w:rsid w:val="00DC4DA2"/>
    <w:rsid w:val="00DC535C"/>
    <w:rsid w:val="00DD0FF4"/>
    <w:rsid w:val="00DD3A06"/>
    <w:rsid w:val="00DD3C2C"/>
    <w:rsid w:val="00DD6690"/>
    <w:rsid w:val="00DD6F5A"/>
    <w:rsid w:val="00DE39F9"/>
    <w:rsid w:val="00DE6DE7"/>
    <w:rsid w:val="00DF1C0A"/>
    <w:rsid w:val="00DF34F4"/>
    <w:rsid w:val="00DF36BC"/>
    <w:rsid w:val="00E02AFE"/>
    <w:rsid w:val="00E159DB"/>
    <w:rsid w:val="00E27E3E"/>
    <w:rsid w:val="00E30BA0"/>
    <w:rsid w:val="00E337B1"/>
    <w:rsid w:val="00E33F32"/>
    <w:rsid w:val="00E34F6F"/>
    <w:rsid w:val="00E40D4A"/>
    <w:rsid w:val="00E43DB2"/>
    <w:rsid w:val="00E45021"/>
    <w:rsid w:val="00E471CF"/>
    <w:rsid w:val="00E508CF"/>
    <w:rsid w:val="00E52066"/>
    <w:rsid w:val="00E52E46"/>
    <w:rsid w:val="00E5668F"/>
    <w:rsid w:val="00E61AF9"/>
    <w:rsid w:val="00E62835"/>
    <w:rsid w:val="00E704A8"/>
    <w:rsid w:val="00E738ED"/>
    <w:rsid w:val="00E77645"/>
    <w:rsid w:val="00E77ED9"/>
    <w:rsid w:val="00E83697"/>
    <w:rsid w:val="00E84883"/>
    <w:rsid w:val="00E87F5C"/>
    <w:rsid w:val="00E9045F"/>
    <w:rsid w:val="00EA6C6E"/>
    <w:rsid w:val="00EB0FDA"/>
    <w:rsid w:val="00EB2293"/>
    <w:rsid w:val="00EC4A25"/>
    <w:rsid w:val="00ED2DCB"/>
    <w:rsid w:val="00EE38AB"/>
    <w:rsid w:val="00EF5DD1"/>
    <w:rsid w:val="00EF5F32"/>
    <w:rsid w:val="00F025A2"/>
    <w:rsid w:val="00F025DF"/>
    <w:rsid w:val="00F068BF"/>
    <w:rsid w:val="00F07388"/>
    <w:rsid w:val="00F10357"/>
    <w:rsid w:val="00F1112B"/>
    <w:rsid w:val="00F14260"/>
    <w:rsid w:val="00F16261"/>
    <w:rsid w:val="00F16BC2"/>
    <w:rsid w:val="00F17EA3"/>
    <w:rsid w:val="00F2026E"/>
    <w:rsid w:val="00F21392"/>
    <w:rsid w:val="00F2210A"/>
    <w:rsid w:val="00F23927"/>
    <w:rsid w:val="00F268E1"/>
    <w:rsid w:val="00F275B7"/>
    <w:rsid w:val="00F35EE2"/>
    <w:rsid w:val="00F37743"/>
    <w:rsid w:val="00F43897"/>
    <w:rsid w:val="00F52028"/>
    <w:rsid w:val="00F52733"/>
    <w:rsid w:val="00F542AE"/>
    <w:rsid w:val="00F54A3D"/>
    <w:rsid w:val="00F54CB0"/>
    <w:rsid w:val="00F55206"/>
    <w:rsid w:val="00F55A09"/>
    <w:rsid w:val="00F62B8E"/>
    <w:rsid w:val="00F653B8"/>
    <w:rsid w:val="00F71B89"/>
    <w:rsid w:val="00F7353C"/>
    <w:rsid w:val="00F76F8F"/>
    <w:rsid w:val="00F81F92"/>
    <w:rsid w:val="00F8424F"/>
    <w:rsid w:val="00F874D3"/>
    <w:rsid w:val="00F91A6B"/>
    <w:rsid w:val="00F92E61"/>
    <w:rsid w:val="00F943A0"/>
    <w:rsid w:val="00FA1266"/>
    <w:rsid w:val="00FA7863"/>
    <w:rsid w:val="00FB2F04"/>
    <w:rsid w:val="00FB36FA"/>
    <w:rsid w:val="00FB677F"/>
    <w:rsid w:val="00FC078E"/>
    <w:rsid w:val="00FC1192"/>
    <w:rsid w:val="00FC44B5"/>
    <w:rsid w:val="00FC5C64"/>
    <w:rsid w:val="00FD07F9"/>
    <w:rsid w:val="00FD114F"/>
    <w:rsid w:val="00FD3EFD"/>
    <w:rsid w:val="00FE0872"/>
    <w:rsid w:val="00FE1869"/>
    <w:rsid w:val="00FE251B"/>
    <w:rsid w:val="00FE5D6E"/>
    <w:rsid w:val="00FE784B"/>
    <w:rsid w:val="00FF02B4"/>
    <w:rsid w:val="00FF0C03"/>
    <w:rsid w:val="1D06BE7F"/>
    <w:rsid w:val="46C4DE92"/>
    <w:rsid w:val="6AC5AE6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docId w15:val="{366DF510-A0AE-4140-8678-3C9D9695A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BodyText">
    <w:name w:val="Body Text"/>
    <w:basedOn w:val="Normal"/>
    <w:link w:val="BodyTextChar"/>
    <w:rsid w:val="00FA7863"/>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BodyTextChar">
    <w:name w:val="Body Text Char"/>
    <w:basedOn w:val="DefaultParagraphFont"/>
    <w:link w:val="BodyText"/>
    <w:rsid w:val="00FA7863"/>
    <w:rPr>
      <w:rFonts w:ascii="Arial" w:eastAsiaTheme="minorEastAsia" w:hAnsi="Arial"/>
      <w:lang w:eastAsia="zh-CN"/>
    </w:rPr>
  </w:style>
  <w:style w:type="paragraph" w:customStyle="1" w:styleId="Proposal">
    <w:name w:val="Proposal"/>
    <w:basedOn w:val="Normal"/>
    <w:rsid w:val="00591DDC"/>
    <w:pPr>
      <w:numPr>
        <w:numId w:val="7"/>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efault">
    <w:name w:val="Default"/>
    <w:rsid w:val="00100D05"/>
    <w:pPr>
      <w:widowControl w:val="0"/>
      <w:autoSpaceDE w:val="0"/>
      <w:autoSpaceDN w:val="0"/>
      <w:adjustRightInd w:val="0"/>
    </w:pPr>
    <w:rPr>
      <w:rFonts w:ascii="Arial" w:hAnsi="Arial" w:cs="Arial"/>
      <w:color w:val="000000"/>
      <w:sz w:val="24"/>
      <w:szCs w:val="24"/>
      <w:lang w:val="en-US"/>
    </w:rPr>
  </w:style>
  <w:style w:type="paragraph" w:styleId="Caption">
    <w:name w:val="caption"/>
    <w:basedOn w:val="Normal"/>
    <w:next w:val="Normal"/>
    <w:qFormat/>
    <w:rsid w:val="00E5668F"/>
    <w:pPr>
      <w:overflowPunct w:val="0"/>
      <w:autoSpaceDE w:val="0"/>
      <w:autoSpaceDN w:val="0"/>
      <w:adjustRightInd w:val="0"/>
      <w:spacing w:before="120" w:after="120"/>
      <w:textAlignment w:val="baseline"/>
    </w:pPr>
    <w:rPr>
      <w:rFonts w:eastAsia="Times New Roman"/>
      <w:b/>
      <w:lang w:val="en-US" w:eastAsia="en-GB"/>
    </w:rPr>
  </w:style>
  <w:style w:type="character" w:customStyle="1" w:styleId="st1">
    <w:name w:val="st1"/>
    <w:basedOn w:val="DefaultParagraphFont"/>
    <w:rsid w:val="00DE39F9"/>
  </w:style>
  <w:style w:type="paragraph" w:customStyle="1" w:styleId="Reference">
    <w:name w:val="Reference"/>
    <w:basedOn w:val="Normal"/>
    <w:link w:val="ReferenceChar"/>
    <w:rsid w:val="003A3B07"/>
    <w:pPr>
      <w:numPr>
        <w:numId w:val="12"/>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ReferenceChar">
    <w:name w:val="Reference Char"/>
    <w:link w:val="Reference"/>
    <w:rsid w:val="003A3B07"/>
    <w:rPr>
      <w:rFonts w:ascii="Arial" w:eastAsiaTheme="minorEastAsia" w:hAnsi="Arial"/>
      <w:lang w:eastAsia="zh-CN"/>
    </w:rPr>
  </w:style>
  <w:style w:type="character" w:styleId="CommentReference">
    <w:name w:val="annotation reference"/>
    <w:basedOn w:val="DefaultParagraphFont"/>
    <w:rsid w:val="002703B1"/>
    <w:rPr>
      <w:sz w:val="21"/>
      <w:szCs w:val="21"/>
    </w:rPr>
  </w:style>
  <w:style w:type="paragraph" w:styleId="CommentText">
    <w:name w:val="annotation text"/>
    <w:basedOn w:val="Normal"/>
    <w:link w:val="CommentTextChar"/>
    <w:rsid w:val="002703B1"/>
  </w:style>
  <w:style w:type="character" w:customStyle="1" w:styleId="CommentTextChar">
    <w:name w:val="Comment Text Char"/>
    <w:basedOn w:val="DefaultParagraphFont"/>
    <w:link w:val="CommentText"/>
    <w:rsid w:val="002703B1"/>
    <w:rPr>
      <w:lang w:eastAsia="en-US"/>
    </w:rPr>
  </w:style>
  <w:style w:type="paragraph" w:styleId="CommentSubject">
    <w:name w:val="annotation subject"/>
    <w:basedOn w:val="CommentText"/>
    <w:next w:val="CommentText"/>
    <w:link w:val="CommentSubjectChar"/>
    <w:rsid w:val="002703B1"/>
    <w:rPr>
      <w:b/>
      <w:bCs/>
    </w:rPr>
  </w:style>
  <w:style w:type="character" w:customStyle="1" w:styleId="CommentSubjectChar">
    <w:name w:val="Comment Subject Char"/>
    <w:basedOn w:val="CommentTextChar"/>
    <w:link w:val="CommentSubject"/>
    <w:rsid w:val="002703B1"/>
    <w:rPr>
      <w:b/>
      <w:bCs/>
      <w:lang w:eastAsia="en-US"/>
    </w:rPr>
  </w:style>
  <w:style w:type="paragraph" w:styleId="ListParagraph">
    <w:name w:val="List Paragraph"/>
    <w:aliases w:val="- Bullets,列出段落,Lista1,?? ??,?????,????,목록 단락,リスト段落"/>
    <w:basedOn w:val="Normal"/>
    <w:link w:val="ListParagraphChar"/>
    <w:uiPriority w:val="34"/>
    <w:qFormat/>
    <w:rsid w:val="0037134A"/>
    <w:pPr>
      <w:spacing w:after="0"/>
      <w:ind w:left="720"/>
      <w:contextualSpacing/>
    </w:pPr>
    <w:rPr>
      <w:rFonts w:eastAsia="Times New Roman"/>
      <w:sz w:val="24"/>
      <w:szCs w:val="24"/>
      <w:lang w:val="da-DK" w:eastAsia="da-DK"/>
    </w:rPr>
  </w:style>
  <w:style w:type="character" w:customStyle="1" w:styleId="ListParagraphChar">
    <w:name w:val="List Paragraph Char"/>
    <w:aliases w:val="- Bullets Char,列出段落 Char,Lista1 Char,?? ?? Char,????? Char,???? Char,목록 단락 Char,リスト段落 Char"/>
    <w:basedOn w:val="DefaultParagraphFont"/>
    <w:link w:val="ListParagraph"/>
    <w:uiPriority w:val="34"/>
    <w:qFormat/>
    <w:locked/>
    <w:rsid w:val="00C56CF1"/>
    <w:rPr>
      <w:rFonts w:eastAsia="Times New Roman"/>
      <w:sz w:val="24"/>
      <w:szCs w:val="24"/>
      <w:lang w:val="da-DK" w:eastAsia="da-DK"/>
    </w:rPr>
  </w:style>
  <w:style w:type="paragraph" w:customStyle="1" w:styleId="Doc-text2">
    <w:name w:val="Doc-text2"/>
    <w:basedOn w:val="Normal"/>
    <w:link w:val="Doc-text2Char"/>
    <w:qFormat/>
    <w:rsid w:val="0006163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61637"/>
    <w:rPr>
      <w:rFonts w:ascii="Arial" w:eastAsia="MS Mincho" w:hAnsi="Arial"/>
      <w:szCs w:val="24"/>
    </w:rPr>
  </w:style>
  <w:style w:type="character" w:customStyle="1" w:styleId="Doc-titleChar">
    <w:name w:val="Doc-title Char"/>
    <w:link w:val="Doc-title"/>
    <w:locked/>
    <w:rsid w:val="00061637"/>
    <w:rPr>
      <w:rFonts w:ascii="Arial" w:eastAsia="MS Mincho" w:hAnsi="Arial" w:cs="Arial"/>
      <w:szCs w:val="24"/>
    </w:rPr>
  </w:style>
  <w:style w:type="paragraph" w:customStyle="1" w:styleId="Doc-title">
    <w:name w:val="Doc-title"/>
    <w:basedOn w:val="Normal"/>
    <w:next w:val="Doc-text2"/>
    <w:link w:val="Doc-titleChar"/>
    <w:qFormat/>
    <w:rsid w:val="00061637"/>
    <w:pPr>
      <w:spacing w:before="180" w:after="0"/>
      <w:ind w:left="1259" w:hanging="1259"/>
    </w:pPr>
    <w:rPr>
      <w:rFonts w:ascii="Arial" w:eastAsia="MS Mincho" w:hAnsi="Arial" w:cs="Arial"/>
      <w:szCs w:val="24"/>
      <w:lang w:eastAsia="en-GB"/>
    </w:rPr>
  </w:style>
  <w:style w:type="paragraph" w:customStyle="1" w:styleId="Agreement">
    <w:name w:val="Agreement"/>
    <w:basedOn w:val="Normal"/>
    <w:next w:val="Doc-text2"/>
    <w:qFormat/>
    <w:rsid w:val="00B87657"/>
    <w:pPr>
      <w:numPr>
        <w:numId w:val="25"/>
      </w:numPr>
      <w:overflowPunct w:val="0"/>
      <w:autoSpaceDE w:val="0"/>
      <w:autoSpaceDN w:val="0"/>
      <w:adjustRightInd w:val="0"/>
      <w:spacing w:before="60"/>
      <w:textAlignment w:val="baseline"/>
    </w:pPr>
    <w:rPr>
      <w:rFonts w:ascii="Arial" w:eastAsia="Times New Roman" w:hAnsi="Arial"/>
      <w:b/>
      <w:lang w:eastAsia="ja-JP"/>
    </w:rPr>
  </w:style>
  <w:style w:type="paragraph" w:customStyle="1" w:styleId="EmailDiscussion">
    <w:name w:val="EmailDiscussion"/>
    <w:basedOn w:val="Normal"/>
    <w:next w:val="EmailDiscussion2"/>
    <w:link w:val="EmailDiscussionChar"/>
    <w:rsid w:val="00394A2E"/>
    <w:pPr>
      <w:numPr>
        <w:numId w:val="26"/>
      </w:numPr>
      <w:spacing w:before="40" w:after="0"/>
    </w:pPr>
    <w:rPr>
      <w:rFonts w:ascii="Arial" w:eastAsia="MS Mincho" w:hAnsi="Arial"/>
      <w:b/>
      <w:szCs w:val="24"/>
      <w:lang w:eastAsia="en-GB"/>
    </w:rPr>
  </w:style>
  <w:style w:type="character" w:customStyle="1" w:styleId="EmailDiscussionChar">
    <w:name w:val="EmailDiscussion Char"/>
    <w:link w:val="EmailDiscussion"/>
    <w:rsid w:val="00394A2E"/>
    <w:rPr>
      <w:rFonts w:ascii="Arial" w:eastAsia="MS Mincho" w:hAnsi="Arial"/>
      <w:b/>
      <w:szCs w:val="24"/>
    </w:rPr>
  </w:style>
  <w:style w:type="paragraph" w:customStyle="1" w:styleId="EmailDiscussion2">
    <w:name w:val="EmailDiscussion2"/>
    <w:basedOn w:val="Doc-text2"/>
    <w:qFormat/>
    <w:rsid w:val="00394A2E"/>
  </w:style>
  <w:style w:type="character" w:customStyle="1" w:styleId="B1Char">
    <w:name w:val="B1 Char"/>
    <w:link w:val="B1"/>
    <w:rsid w:val="00DF36BC"/>
    <w:rPr>
      <w:lang w:eastAsia="en-US"/>
    </w:rPr>
  </w:style>
  <w:style w:type="paragraph" w:styleId="Revision">
    <w:name w:val="Revision"/>
    <w:hidden/>
    <w:uiPriority w:val="99"/>
    <w:semiHidden/>
    <w:rsid w:val="00BF177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405556">
      <w:bodyDiv w:val="1"/>
      <w:marLeft w:val="0"/>
      <w:marRight w:val="0"/>
      <w:marTop w:val="0"/>
      <w:marBottom w:val="0"/>
      <w:divBdr>
        <w:top w:val="none" w:sz="0" w:space="0" w:color="auto"/>
        <w:left w:val="none" w:sz="0" w:space="0" w:color="auto"/>
        <w:bottom w:val="none" w:sz="0" w:space="0" w:color="auto"/>
        <w:right w:val="none" w:sz="0" w:space="0" w:color="auto"/>
      </w:divBdr>
      <w:divsChild>
        <w:div w:id="842017165">
          <w:marLeft w:val="360"/>
          <w:marRight w:val="0"/>
          <w:marTop w:val="0"/>
          <w:marBottom w:val="120"/>
          <w:divBdr>
            <w:top w:val="none" w:sz="0" w:space="0" w:color="auto"/>
            <w:left w:val="none" w:sz="0" w:space="0" w:color="auto"/>
            <w:bottom w:val="none" w:sz="0" w:space="0" w:color="auto"/>
            <w:right w:val="none" w:sz="0" w:space="0" w:color="auto"/>
          </w:divBdr>
        </w:div>
        <w:div w:id="719204652">
          <w:marLeft w:val="720"/>
          <w:marRight w:val="0"/>
          <w:marTop w:val="0"/>
          <w:marBottom w:val="120"/>
          <w:divBdr>
            <w:top w:val="none" w:sz="0" w:space="0" w:color="auto"/>
            <w:left w:val="none" w:sz="0" w:space="0" w:color="auto"/>
            <w:bottom w:val="none" w:sz="0" w:space="0" w:color="auto"/>
            <w:right w:val="none" w:sz="0" w:space="0" w:color="auto"/>
          </w:divBdr>
        </w:div>
      </w:divsChild>
    </w:div>
    <w:div w:id="143661572">
      <w:bodyDiv w:val="1"/>
      <w:marLeft w:val="0"/>
      <w:marRight w:val="0"/>
      <w:marTop w:val="0"/>
      <w:marBottom w:val="0"/>
      <w:divBdr>
        <w:top w:val="none" w:sz="0" w:space="0" w:color="auto"/>
        <w:left w:val="none" w:sz="0" w:space="0" w:color="auto"/>
        <w:bottom w:val="none" w:sz="0" w:space="0" w:color="auto"/>
        <w:right w:val="none" w:sz="0" w:space="0" w:color="auto"/>
      </w:divBdr>
    </w:div>
    <w:div w:id="589588228">
      <w:bodyDiv w:val="1"/>
      <w:marLeft w:val="0"/>
      <w:marRight w:val="0"/>
      <w:marTop w:val="0"/>
      <w:marBottom w:val="0"/>
      <w:divBdr>
        <w:top w:val="none" w:sz="0" w:space="0" w:color="auto"/>
        <w:left w:val="none" w:sz="0" w:space="0" w:color="auto"/>
        <w:bottom w:val="none" w:sz="0" w:space="0" w:color="auto"/>
        <w:right w:val="none" w:sz="0" w:space="0" w:color="auto"/>
      </w:divBdr>
      <w:divsChild>
        <w:div w:id="605045902">
          <w:marLeft w:val="274"/>
          <w:marRight w:val="0"/>
          <w:marTop w:val="0"/>
          <w:marBottom w:val="0"/>
          <w:divBdr>
            <w:top w:val="none" w:sz="0" w:space="0" w:color="auto"/>
            <w:left w:val="none" w:sz="0" w:space="0" w:color="auto"/>
            <w:bottom w:val="none" w:sz="0" w:space="0" w:color="auto"/>
            <w:right w:val="none" w:sz="0" w:space="0" w:color="auto"/>
          </w:divBdr>
        </w:div>
      </w:divsChild>
    </w:div>
    <w:div w:id="64613375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3421376">
      <w:bodyDiv w:val="1"/>
      <w:marLeft w:val="0"/>
      <w:marRight w:val="0"/>
      <w:marTop w:val="0"/>
      <w:marBottom w:val="0"/>
      <w:divBdr>
        <w:top w:val="none" w:sz="0" w:space="0" w:color="auto"/>
        <w:left w:val="none" w:sz="0" w:space="0" w:color="auto"/>
        <w:bottom w:val="none" w:sz="0" w:space="0" w:color="auto"/>
        <w:right w:val="none" w:sz="0" w:space="0" w:color="auto"/>
      </w:divBdr>
      <w:divsChild>
        <w:div w:id="917062118">
          <w:marLeft w:val="360"/>
          <w:marRight w:val="0"/>
          <w:marTop w:val="0"/>
          <w:marBottom w:val="120"/>
          <w:divBdr>
            <w:top w:val="none" w:sz="0" w:space="0" w:color="auto"/>
            <w:left w:val="none" w:sz="0" w:space="0" w:color="auto"/>
            <w:bottom w:val="none" w:sz="0" w:space="0" w:color="auto"/>
            <w:right w:val="none" w:sz="0" w:space="0" w:color="auto"/>
          </w:divBdr>
        </w:div>
      </w:divsChild>
    </w:div>
    <w:div w:id="1210073637">
      <w:bodyDiv w:val="1"/>
      <w:marLeft w:val="0"/>
      <w:marRight w:val="0"/>
      <w:marTop w:val="0"/>
      <w:marBottom w:val="0"/>
      <w:divBdr>
        <w:top w:val="none" w:sz="0" w:space="0" w:color="auto"/>
        <w:left w:val="none" w:sz="0" w:space="0" w:color="auto"/>
        <w:bottom w:val="none" w:sz="0" w:space="0" w:color="auto"/>
        <w:right w:val="none" w:sz="0" w:space="0" w:color="auto"/>
      </w:divBdr>
      <w:divsChild>
        <w:div w:id="1924219737">
          <w:marLeft w:val="274"/>
          <w:marRight w:val="0"/>
          <w:marTop w:val="0"/>
          <w:marBottom w:val="0"/>
          <w:divBdr>
            <w:top w:val="none" w:sz="0" w:space="0" w:color="auto"/>
            <w:left w:val="none" w:sz="0" w:space="0" w:color="auto"/>
            <w:bottom w:val="none" w:sz="0" w:space="0" w:color="auto"/>
            <w:right w:val="none" w:sz="0" w:space="0" w:color="auto"/>
          </w:divBdr>
        </w:div>
        <w:div w:id="654530936">
          <w:marLeft w:val="274"/>
          <w:marRight w:val="0"/>
          <w:marTop w:val="0"/>
          <w:marBottom w:val="0"/>
          <w:divBdr>
            <w:top w:val="none" w:sz="0" w:space="0" w:color="auto"/>
            <w:left w:val="none" w:sz="0" w:space="0" w:color="auto"/>
            <w:bottom w:val="none" w:sz="0" w:space="0" w:color="auto"/>
            <w:right w:val="none" w:sz="0" w:space="0" w:color="auto"/>
          </w:divBdr>
        </w:div>
        <w:div w:id="1642535816">
          <w:marLeft w:val="274"/>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0144279">
      <w:bodyDiv w:val="1"/>
      <w:marLeft w:val="0"/>
      <w:marRight w:val="0"/>
      <w:marTop w:val="0"/>
      <w:marBottom w:val="0"/>
      <w:divBdr>
        <w:top w:val="none" w:sz="0" w:space="0" w:color="auto"/>
        <w:left w:val="none" w:sz="0" w:space="0" w:color="auto"/>
        <w:bottom w:val="none" w:sz="0" w:space="0" w:color="auto"/>
        <w:right w:val="none" w:sz="0" w:space="0" w:color="auto"/>
      </w:divBdr>
      <w:divsChild>
        <w:div w:id="911084185">
          <w:marLeft w:val="1166"/>
          <w:marRight w:val="0"/>
          <w:marTop w:val="60"/>
          <w:marBottom w:val="120"/>
          <w:divBdr>
            <w:top w:val="none" w:sz="0" w:space="0" w:color="auto"/>
            <w:left w:val="none" w:sz="0" w:space="0" w:color="auto"/>
            <w:bottom w:val="none" w:sz="0" w:space="0" w:color="auto"/>
            <w:right w:val="none" w:sz="0" w:space="0" w:color="auto"/>
          </w:divBdr>
        </w:div>
        <w:div w:id="101344115">
          <w:marLeft w:val="1800"/>
          <w:marRight w:val="0"/>
          <w:marTop w:val="60"/>
          <w:marBottom w:val="120"/>
          <w:divBdr>
            <w:top w:val="none" w:sz="0" w:space="0" w:color="auto"/>
            <w:left w:val="none" w:sz="0" w:space="0" w:color="auto"/>
            <w:bottom w:val="none" w:sz="0" w:space="0" w:color="auto"/>
            <w:right w:val="none" w:sz="0" w:space="0" w:color="auto"/>
          </w:divBdr>
        </w:div>
        <w:div w:id="478348228">
          <w:marLeft w:val="1166"/>
          <w:marRight w:val="0"/>
          <w:marTop w:val="60"/>
          <w:marBottom w:val="120"/>
          <w:divBdr>
            <w:top w:val="none" w:sz="0" w:space="0" w:color="auto"/>
            <w:left w:val="none" w:sz="0" w:space="0" w:color="auto"/>
            <w:bottom w:val="none" w:sz="0" w:space="0" w:color="auto"/>
            <w:right w:val="none" w:sz="0" w:space="0" w:color="auto"/>
          </w:divBdr>
        </w:div>
        <w:div w:id="586574747">
          <w:marLeft w:val="1800"/>
          <w:marRight w:val="0"/>
          <w:marTop w:val="60"/>
          <w:marBottom w:val="120"/>
          <w:divBdr>
            <w:top w:val="none" w:sz="0" w:space="0" w:color="auto"/>
            <w:left w:val="none" w:sz="0" w:space="0" w:color="auto"/>
            <w:bottom w:val="none" w:sz="0" w:space="0" w:color="auto"/>
            <w:right w:val="none" w:sz="0" w:space="0" w:color="auto"/>
          </w:divBdr>
        </w:div>
        <w:div w:id="1993757170">
          <w:marLeft w:val="1800"/>
          <w:marRight w:val="0"/>
          <w:marTop w:val="6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5AIRPNAIUNRU-859666464-4103</_dlc_DocId>
    <_dlc_DocIdUrl xmlns="71c5aaf6-e6ce-465b-b873-5148d2a4c105">
      <Url>https://nokia.sharepoint.com/sites/c5g/e2earch/_layouts/15/DocIdRedir.aspx?ID=5AIRPNAIUNRU-859666464-4103</Url>
      <Description>5AIRPNAIUNRU-859666464-4103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2.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3.xml><?xml version="1.0" encoding="utf-8"?>
<ds:datastoreItem xmlns:ds="http://schemas.openxmlformats.org/officeDocument/2006/customXml" ds:itemID="{86873D7C-CEDF-4D41-B470-0299D3FA10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EC64CB-B6B7-4A20-BD38-E7BEAD3E315C}">
  <ds:schemaRefs>
    <ds:schemaRef ds:uri="3b34c8f0-1ef5-4d1e-bb66-517ce7fe7356"/>
    <ds:schemaRef ds:uri="http://schemas.openxmlformats.org/package/2006/metadata/core-properties"/>
    <ds:schemaRef ds:uri="http://schemas.microsoft.com/office/2006/metadata/properties"/>
    <ds:schemaRef ds:uri="http://purl.org/dc/elements/1.1/"/>
    <ds:schemaRef ds:uri="83f22d2f-d16e-4be6-ad4f-29fa0b067c3c"/>
    <ds:schemaRef ds:uri="http://purl.org/dc/dcmitype/"/>
    <ds:schemaRef ds:uri="http://schemas.microsoft.com/office/2006/documentManagement/types"/>
    <ds:schemaRef ds:uri="71c5aaf6-e6ce-465b-b873-5148d2a4c105"/>
    <ds:schemaRef ds:uri="http://schemas.microsoft.com/office/infopath/2007/PartnerControls"/>
    <ds:schemaRef ds:uri="a3840f4f-04be-43d1-b2ef-6ff1382503c7"/>
    <ds:schemaRef ds:uri="http://www.w3.org/XML/1998/namespace"/>
    <ds:schemaRef ds:uri="http://purl.org/dc/terms/"/>
  </ds:schemaRefs>
</ds:datastoreItem>
</file>

<file path=customXml/itemProps5.xml><?xml version="1.0" encoding="utf-8"?>
<ds:datastoreItem xmlns:ds="http://schemas.openxmlformats.org/officeDocument/2006/customXml" ds:itemID="{D965C463-2369-422F-A81E-A56B5FF166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27</TotalTime>
  <Pages>3</Pages>
  <Words>1145</Words>
  <Characters>6127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7258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Meng, Yan B. (NSB - CN/Shanghai)</dc:creator>
  <cp:lastModifiedBy>Nokia(GWO)2</cp:lastModifiedBy>
  <cp:revision>4</cp:revision>
  <dcterms:created xsi:type="dcterms:W3CDTF">2018-10-31T07:35:00Z</dcterms:created>
  <dcterms:modified xsi:type="dcterms:W3CDTF">2018-11-01T10:35:00Z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f87ac759-922d-48f3-9f69-cddb03c66878</vt:lpwstr>
  </property>
</Properties>
</file>